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8EB8" w14:textId="77777777" w:rsidR="003E7410" w:rsidRPr="000211CD" w:rsidRDefault="008735F0">
      <w:pPr>
        <w:jc w:val="center"/>
        <w:rPr>
          <w:b/>
          <w:bCs/>
          <w:sz w:val="20"/>
          <w:szCs w:val="20"/>
        </w:rPr>
      </w:pPr>
      <w:r w:rsidRPr="000211CD">
        <w:rPr>
          <w:b/>
          <w:bCs/>
          <w:sz w:val="20"/>
          <w:szCs w:val="20"/>
        </w:rPr>
        <w:t>PREFEITURA MUNICIPAL DE CURITIBA</w:t>
      </w:r>
    </w:p>
    <w:p w14:paraId="516AEC94" w14:textId="009CC6E8" w:rsidR="003E7410" w:rsidRPr="000211CD" w:rsidRDefault="008735F0">
      <w:pPr>
        <w:jc w:val="center"/>
        <w:rPr>
          <w:b/>
          <w:bCs/>
          <w:sz w:val="20"/>
          <w:szCs w:val="20"/>
        </w:rPr>
      </w:pPr>
      <w:r w:rsidRPr="000211CD">
        <w:rPr>
          <w:b/>
          <w:bCs/>
          <w:sz w:val="20"/>
          <w:szCs w:val="20"/>
        </w:rPr>
        <w:t xml:space="preserve">SECRETARIA MUNICIPAL DE ADMINISTRAÇÃO, GESTÃO DE PESSOAL E </w:t>
      </w:r>
      <w:r w:rsidR="000211CD">
        <w:rPr>
          <w:b/>
          <w:bCs/>
          <w:sz w:val="20"/>
          <w:szCs w:val="20"/>
        </w:rPr>
        <w:br/>
      </w:r>
      <w:r w:rsidRPr="000211CD">
        <w:rPr>
          <w:b/>
          <w:bCs/>
          <w:sz w:val="20"/>
          <w:szCs w:val="20"/>
        </w:rPr>
        <w:t>TECNOLOGIA DA INFORMAÇÃO</w:t>
      </w:r>
    </w:p>
    <w:p w14:paraId="0E02CB67" w14:textId="77777777" w:rsidR="003E7410" w:rsidRPr="000211CD" w:rsidRDefault="008735F0">
      <w:pPr>
        <w:jc w:val="center"/>
        <w:rPr>
          <w:b/>
          <w:bCs/>
          <w:sz w:val="20"/>
          <w:szCs w:val="20"/>
        </w:rPr>
      </w:pPr>
      <w:r w:rsidRPr="000211CD">
        <w:rPr>
          <w:b/>
          <w:bCs/>
          <w:sz w:val="20"/>
          <w:szCs w:val="20"/>
        </w:rPr>
        <w:t>DEPARTAMENTO DE GESTÃO DO ARQUIVO PÚBLICO</w:t>
      </w:r>
    </w:p>
    <w:p w14:paraId="1C41D588" w14:textId="5E4B2A8C" w:rsidR="003E7410" w:rsidRDefault="008735F0">
      <w:pPr>
        <w:jc w:val="center"/>
      </w:pPr>
      <w:r w:rsidRPr="000211CD">
        <w:rPr>
          <w:b/>
          <w:bCs/>
          <w:sz w:val="20"/>
          <w:szCs w:val="20"/>
        </w:rPr>
        <w:t>RELATÓRIO ANUAL DE AVALIAÇÃO ANO DE 202</w:t>
      </w:r>
      <w:r w:rsidR="00337340" w:rsidRPr="000211CD">
        <w:rPr>
          <w:b/>
          <w:bCs/>
          <w:sz w:val="20"/>
          <w:szCs w:val="20"/>
        </w:rPr>
        <w:t>4</w:t>
      </w:r>
      <w:r>
        <w:t>.</w:t>
      </w:r>
    </w:p>
    <w:p w14:paraId="24A99534" w14:textId="264674A8" w:rsidR="003E7410" w:rsidRDefault="008735F0">
      <w:pPr>
        <w:jc w:val="both"/>
      </w:pPr>
      <w:r>
        <w:t>O presente relatório apresenta informações acerca do atendimento dos pedidos de acesso à informação recebidos e respondidos ao longo do exercício 202</w:t>
      </w:r>
      <w:r w:rsidR="00027FE0">
        <w:t>4</w:t>
      </w:r>
      <w:r>
        <w:t xml:space="preserve"> no Município de Curitiba.</w:t>
      </w:r>
    </w:p>
    <w:p w14:paraId="18CDBAB8" w14:textId="77777777" w:rsidR="003E7410" w:rsidRDefault="008735F0">
      <w:pPr>
        <w:jc w:val="both"/>
      </w:pPr>
      <w:r>
        <w:t>A Lei de Acesso à Informação, regulamentada no Município de Curitiba através do Decreto nº 1.135/2018, está sob a responsabilidade da Central de Gestão de Informações Públicas, unidade hierarquicamente vinculada ao Departamento de Gestão do Arquivo Público da Secretaria Municipal de Administração, Gestão de Pessoal e Tecnologia da Informação.</w:t>
      </w:r>
    </w:p>
    <w:p w14:paraId="2780DB9E" w14:textId="77777777" w:rsidR="003E7410" w:rsidRDefault="008735F0">
      <w:pPr>
        <w:jc w:val="both"/>
      </w:pPr>
      <w:r>
        <w:t>A Central de Gestão de Informações Públicas monitora todas as solicitações de acesso à informação cadastradas no endereço eletrônico do Espaço Cidadão (endereço site).</w:t>
      </w:r>
    </w:p>
    <w:p w14:paraId="15760DC6" w14:textId="77777777" w:rsidR="003E7410" w:rsidRDefault="008735F0">
      <w:pPr>
        <w:jc w:val="both"/>
      </w:pPr>
      <w:r>
        <w:t>O acompanhamento das solicitações e o monitoramento dos prazos são realizados através de relatório do próprio sistema.</w:t>
      </w:r>
    </w:p>
    <w:p w14:paraId="0A0BF1F5" w14:textId="5B9E119A" w:rsidR="00645F1B" w:rsidRDefault="00645F1B" w:rsidP="00645F1B">
      <w:pPr>
        <w:jc w:val="both"/>
      </w:pPr>
      <w:r w:rsidRPr="00645F1B">
        <w:t>No ano de 2024, foram cadastradas 1.453 solicitações de acesso à informação. Dessas, 1.416 solicitações (97,45% do total) foram respondidas dentro dos prazos legais</w:t>
      </w:r>
      <w:r>
        <w:t xml:space="preserve"> e deste total</w:t>
      </w:r>
      <w:r w:rsidRPr="00645F1B">
        <w:t xml:space="preserve"> 187 solicitações (12,89%) foram indeferidas, 57 solicitações (3,93%) atendidas fora do prazo legal, 69 solicitações (4,75%) tiveram um primeiro recurso impetrado e 18 solicitações (1,24%) </w:t>
      </w:r>
      <w:r>
        <w:t xml:space="preserve">tiveram um segundo recurso impetrado. </w:t>
      </w:r>
      <w:r w:rsidRPr="00645F1B">
        <w:t>O mês com maior número de solicitações foi abril, com 164 pedidos, enquanto dezembro registrou o menor volume, com apenas 66 solicitações.</w:t>
      </w:r>
    </w:p>
    <w:p w14:paraId="01A29154" w14:textId="77777777" w:rsidR="00FB4F4F" w:rsidRDefault="00FB4F4F" w:rsidP="00645F1B">
      <w:pPr>
        <w:jc w:val="both"/>
      </w:pPr>
    </w:p>
    <w:p w14:paraId="51A1F372" w14:textId="62C21A15" w:rsidR="00D063E3" w:rsidRDefault="00FB4F4F" w:rsidP="00645F1B">
      <w:pPr>
        <w:jc w:val="both"/>
      </w:pPr>
      <w:r>
        <w:rPr>
          <w:noProof/>
        </w:rPr>
        <w:drawing>
          <wp:inline distT="0" distB="0" distL="0" distR="0" wp14:anchorId="786FE744" wp14:editId="1A5B472B">
            <wp:extent cx="5400040" cy="2520315"/>
            <wp:effectExtent l="0" t="0" r="0" b="0"/>
            <wp:docPr id="44882260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DBB69D5-E347-84FC-0B2F-EBFF6EBA84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17640FB" w14:textId="77777777" w:rsidR="00645F1B" w:rsidRDefault="00645F1B" w:rsidP="00645F1B">
      <w:pPr>
        <w:jc w:val="both"/>
      </w:pPr>
      <w:r w:rsidRPr="00645F1B">
        <w:lastRenderedPageBreak/>
        <w:t>Sobre os solicitantes, 52,1% se identificaram como do sexo masculino, 43,84% como do sexo feminino e 4,06% não informaram, não quiseram declarar ou deixaram em branco. A análise etária revela que a maioria dos pedidos partiu de pessoas entre 20 e 50 anos, totalizando aproximadamente 60% do total: a faixa de 20 a 30 anos representou 23,68% das solicitações, enquanto as faixas de 30 a 40 anos e de 40 a 50 anos somaram, juntas, 36,61%. Já faixas etárias como até 20 anos (9,74%) e acima de 70 anos (8,74%) tiveram menor participação.</w:t>
      </w:r>
    </w:p>
    <w:p w14:paraId="27C2998C" w14:textId="77777777" w:rsidR="00FB4F4F" w:rsidRDefault="00FB4F4F" w:rsidP="00645F1B">
      <w:pPr>
        <w:jc w:val="both"/>
      </w:pPr>
    </w:p>
    <w:p w14:paraId="31817246" w14:textId="3AE79344" w:rsidR="00D063E3" w:rsidRDefault="00FB4F4F" w:rsidP="00645F1B">
      <w:pPr>
        <w:jc w:val="both"/>
      </w:pPr>
      <w:r>
        <w:rPr>
          <w:noProof/>
        </w:rPr>
        <w:drawing>
          <wp:inline distT="0" distB="0" distL="0" distR="0" wp14:anchorId="61095D89" wp14:editId="5D8C7A69">
            <wp:extent cx="5410200" cy="2571750"/>
            <wp:effectExtent l="0" t="0" r="0" b="0"/>
            <wp:docPr id="166783073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BB72D9-B3D3-E36F-D383-E86287DC8E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EF766C4" w14:textId="77777777" w:rsidR="00D063E3" w:rsidRDefault="00D063E3" w:rsidP="00645F1B">
      <w:pPr>
        <w:jc w:val="both"/>
      </w:pPr>
    </w:p>
    <w:p w14:paraId="28C3D12F" w14:textId="77777777" w:rsidR="00FB4F4F" w:rsidRDefault="00FB4F4F" w:rsidP="00645F1B">
      <w:pPr>
        <w:jc w:val="both"/>
      </w:pPr>
    </w:p>
    <w:p w14:paraId="51AEB5A1" w14:textId="70097A5B" w:rsidR="00D063E3" w:rsidRDefault="00D063E3" w:rsidP="00645F1B">
      <w:pPr>
        <w:jc w:val="both"/>
      </w:pPr>
      <w:r>
        <w:rPr>
          <w:noProof/>
        </w:rPr>
        <w:drawing>
          <wp:inline distT="0" distB="0" distL="0" distR="0" wp14:anchorId="36A7DFFB" wp14:editId="61028B0C">
            <wp:extent cx="5400040" cy="3026410"/>
            <wp:effectExtent l="0" t="0" r="0" b="2540"/>
            <wp:docPr id="16292064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A7C911D-0829-9D77-7944-1FC3F9C593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AB001D" w14:textId="77777777" w:rsidR="00D063E3" w:rsidRDefault="00D063E3" w:rsidP="00645F1B">
      <w:pPr>
        <w:jc w:val="both"/>
      </w:pPr>
    </w:p>
    <w:p w14:paraId="3B96E640" w14:textId="77777777" w:rsidR="00D063E3" w:rsidRDefault="00D063E3" w:rsidP="00645F1B">
      <w:pPr>
        <w:jc w:val="both"/>
      </w:pPr>
    </w:p>
    <w:p w14:paraId="246BC82B" w14:textId="6281485D" w:rsidR="00DD2AC9" w:rsidRDefault="00645F1B" w:rsidP="00645F1B">
      <w:pPr>
        <w:jc w:val="both"/>
      </w:pPr>
      <w:r w:rsidRPr="00645F1B">
        <w:t>No recorte territorial por região administrativa, a Matriz concentrou o maior número de solicitações (16,79%), seguida por Boa Vista (11,63%) e Portão (10,46%). As regionais com menor participação foram Tatuquara (1,58%), Bairro Novo (3,17%) e CIC (5,02%), o que indica a necessidade de ampliar o acesso à informação nessas localidades.</w:t>
      </w:r>
    </w:p>
    <w:p w14:paraId="0C29F9F3" w14:textId="6F0649A8" w:rsidR="00DD2AC9" w:rsidRPr="00645F1B" w:rsidRDefault="00FB4F4F" w:rsidP="00645F1B">
      <w:pPr>
        <w:jc w:val="both"/>
      </w:pPr>
      <w:r>
        <w:rPr>
          <w:noProof/>
        </w:rPr>
        <w:drawing>
          <wp:inline distT="0" distB="0" distL="0" distR="0" wp14:anchorId="73D17A76" wp14:editId="03E15A70">
            <wp:extent cx="5410200" cy="2404745"/>
            <wp:effectExtent l="0" t="0" r="0" b="0"/>
            <wp:docPr id="132487156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736BBCD-F041-2363-FB8E-D95BCF250D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1E99B6" w14:textId="77777777" w:rsidR="00645F1B" w:rsidRDefault="00645F1B" w:rsidP="00645F1B">
      <w:pPr>
        <w:jc w:val="both"/>
      </w:pPr>
      <w:r w:rsidRPr="00645F1B">
        <w:t>Em relação aos bairros, o Centro lidera com 79 solicitações (5,43% do total), seguido por Cidade Industrial de Curitiba (4,89%), Água Verde (3,92%), Cajuru (3,51%) e Boqueirão (3,37%). Esses bairros concentram a maior demanda por acesso à informação no município.</w:t>
      </w:r>
    </w:p>
    <w:p w14:paraId="45741476" w14:textId="16933051" w:rsidR="00DD2AC9" w:rsidRDefault="00FB4F4F" w:rsidP="00645F1B">
      <w:pPr>
        <w:jc w:val="both"/>
      </w:pPr>
      <w:r>
        <w:rPr>
          <w:noProof/>
        </w:rPr>
        <w:drawing>
          <wp:inline distT="0" distB="0" distL="0" distR="0" wp14:anchorId="27B14422" wp14:editId="1D877A81">
            <wp:extent cx="5429250" cy="2414270"/>
            <wp:effectExtent l="0" t="0" r="0" b="5080"/>
            <wp:docPr id="79965062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5961C7-5925-E39A-66B8-8EDCD7835B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6235E4" w14:textId="77777777" w:rsidR="00DD2AC9" w:rsidRDefault="00DD2AC9" w:rsidP="00645F1B">
      <w:pPr>
        <w:jc w:val="both"/>
      </w:pPr>
    </w:p>
    <w:p w14:paraId="24C85942" w14:textId="77777777" w:rsidR="00645F1B" w:rsidRDefault="00645F1B">
      <w:pPr>
        <w:jc w:val="both"/>
      </w:pPr>
      <w:r w:rsidRPr="00645F1B">
        <w:t xml:space="preserve">No que diz respeito às secretarias mais demandadas em 2024, a Secretaria Municipal da Saúde (SMS) foi a que recebeu o maior número de solicitações, totalizando 161 pedidos, o que corresponde a 11,1% do total. As principais demandas estiveram relacionadas à vacinação contra a COVID-19, atendimentos em Unidades de Saúde e questionamentos sobre o aplicativo Saúde Já. Em seguida, a URBS – Urbanização de Curitiba registrou 132 solicitações (9,1%), principalmente sobre transporte coletivo, </w:t>
      </w:r>
      <w:r w:rsidRPr="00645F1B">
        <w:lastRenderedPageBreak/>
        <w:t>cartão transporte e áreas do estacionamento regulamentado (ESTAR). A Secretaria Municipal do Meio Ambiente (SMMA) aparece logo depois, com 128 solicitações (8,82%), envolvendo temas como corte de árvores, castração de animais, proteção e poluição ambiental. Também se destacam a Secretaria Municipal da Educação (114 solicitações – 7,86%), com foco em vagas e funcionamento de escolas, e a Secretaria de Administração e Gestão de Pessoal (107 solicitações – 7,37%), que concentrou dúvidas sobre concursos, recursos humanos e funcionamento de sites institucionais. Outras pastas com maior número de pedidos foram a Secretaria Municipal de Urbanismo (95 solicitações – 6,55%), Secretaria de Planejamento, Finanças e Orçamento (72 – 4,96%) e a Fundação de Ação Social (56 – 3,86%), demonstrando os principais temas de interesse da população no exercício do direito de acesso à informação.</w:t>
      </w:r>
    </w:p>
    <w:p w14:paraId="6FED87D9" w14:textId="0919F473" w:rsidR="00DD2AC9" w:rsidRDefault="00FB4F4F">
      <w:pPr>
        <w:jc w:val="both"/>
      </w:pPr>
      <w:r>
        <w:rPr>
          <w:noProof/>
        </w:rPr>
        <w:drawing>
          <wp:inline distT="0" distB="0" distL="0" distR="0" wp14:anchorId="43C39C2B" wp14:editId="599D0287">
            <wp:extent cx="5476875" cy="2385695"/>
            <wp:effectExtent l="0" t="0" r="0" b="0"/>
            <wp:docPr id="123908460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174F5CE-4B42-7C55-F2BA-2AFFF1295B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654E1F" w14:textId="5D1C6129" w:rsidR="003E7410" w:rsidRDefault="008735F0">
      <w:pPr>
        <w:jc w:val="both"/>
      </w:pPr>
      <w:r>
        <w:t>De forma geral as solicitações são atendidas com muita celeridade, salvo em situações em que a própria solicitação demanda a necessidade de pesquisas mais elaboradas ou levantamento de dados em mais de um órgão/secretaria.</w:t>
      </w:r>
    </w:p>
    <w:p w14:paraId="59CFF0E0" w14:textId="77777777" w:rsidR="003E7410" w:rsidRDefault="008735F0">
      <w:pPr>
        <w:jc w:val="both"/>
      </w:pPr>
      <w:r>
        <w:t>Quanto às solicitações recursadas estamos trabalhando no sentido de obter um maior controle sobre os prazos, deferimentos e indeferimentos das mesmas.</w:t>
      </w:r>
    </w:p>
    <w:p w14:paraId="1958AEEC" w14:textId="25129A27" w:rsidR="003E7410" w:rsidRDefault="008735F0">
      <w:pPr>
        <w:jc w:val="both"/>
      </w:pPr>
      <w:r>
        <w:t>O Município de Curitiba vem cumprindo as obrigações legais e respondendo aos pedidos de informação solicitados por meio da Lei n. 12.527/2011 de forma apropriada na maioria dos casos.</w:t>
      </w:r>
      <w:r w:rsidR="00AF307E">
        <w:t xml:space="preserve"> No ano de 2024 a média de dias para atendimento das solicitações foi de 16,13 dias.</w:t>
      </w:r>
      <w:r>
        <w:t xml:space="preserve"> Informamos ainda que estamos trabalhando no sentido de adotar procedimento visando a publicação de forma automática e em tempo real diretamente no ambiente da LAI na página web da PMC de todas as informações referentes à Lei de Acesso à Informação, procedimento similar ao Painel da Lei de Acesso à Informação do Governo Federal.</w:t>
      </w:r>
    </w:p>
    <w:p w14:paraId="7A3B5CA3" w14:textId="520C6D72" w:rsidR="003E7410" w:rsidRDefault="008735F0">
      <w:pPr>
        <w:jc w:val="center"/>
      </w:pPr>
      <w:r>
        <w:t xml:space="preserve">FONTE: Sistema </w:t>
      </w:r>
      <w:proofErr w:type="spellStart"/>
      <w:r>
        <w:t>Sydle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r w:rsidR="00B41E7C">
        <w:t>e Sistema Único de Protocolo.</w:t>
      </w:r>
    </w:p>
    <w:p w14:paraId="525DCF4D" w14:textId="21A97D0D" w:rsidR="003E7410" w:rsidRDefault="008735F0" w:rsidP="00B41E7C">
      <w:pPr>
        <w:jc w:val="center"/>
      </w:pPr>
      <w:r>
        <w:t>Atualizado</w:t>
      </w:r>
      <w:r w:rsidR="00645F1B">
        <w:t xml:space="preserve"> pela Controladoria-Geral do Município</w:t>
      </w:r>
      <w:r>
        <w:t xml:space="preserve"> </w:t>
      </w:r>
      <w:r w:rsidR="00405817">
        <w:t>em 07/2025</w:t>
      </w:r>
      <w:r>
        <w:t>.</w:t>
      </w:r>
    </w:p>
    <w:sectPr w:rsidR="003E74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landscape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2CB3" w14:textId="77777777" w:rsidR="00392AF0" w:rsidRDefault="00392AF0">
      <w:pPr>
        <w:spacing w:after="0" w:line="240" w:lineRule="auto"/>
      </w:pPr>
      <w:r>
        <w:separator/>
      </w:r>
    </w:p>
  </w:endnote>
  <w:endnote w:type="continuationSeparator" w:id="0">
    <w:p w14:paraId="483C0EBF" w14:textId="77777777" w:rsidR="00392AF0" w:rsidRDefault="0039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4338" w14:textId="77777777" w:rsidR="00722748" w:rsidRDefault="007227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8FE8" w14:textId="77777777" w:rsidR="00722748" w:rsidRDefault="007227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88CA8" w14:textId="77777777" w:rsidR="00722748" w:rsidRDefault="007227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FC54" w14:textId="77777777" w:rsidR="00392AF0" w:rsidRDefault="00392AF0">
      <w:pPr>
        <w:spacing w:after="0" w:line="240" w:lineRule="auto"/>
      </w:pPr>
      <w:r>
        <w:separator/>
      </w:r>
    </w:p>
  </w:footnote>
  <w:footnote w:type="continuationSeparator" w:id="0">
    <w:p w14:paraId="114187AA" w14:textId="77777777" w:rsidR="00392AF0" w:rsidRDefault="0039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84FE" w14:textId="77777777" w:rsidR="00722748" w:rsidRDefault="007227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F36B" w14:textId="42B4244A" w:rsidR="00722748" w:rsidRPr="00722748" w:rsidRDefault="00722748" w:rsidP="00722748">
    <w:pPr>
      <w:pStyle w:val="Cabealho"/>
      <w:jc w:val="right"/>
      <w:rPr>
        <w:sz w:val="12"/>
        <w:szCs w:val="12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5CE619D" wp14:editId="175007DA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61444" cy="666531"/>
          <wp:effectExtent l="0" t="0" r="0" b="635"/>
          <wp:wrapNone/>
          <wp:docPr id="2448217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44" cy="666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748">
      <w:rPr>
        <w:b/>
        <w:bCs/>
        <w:sz w:val="12"/>
        <w:szCs w:val="12"/>
      </w:rPr>
      <w:t>Prefeitura Municipal de Curitiba</w:t>
    </w:r>
  </w:p>
  <w:p w14:paraId="1E89F8DC" w14:textId="40922C23" w:rsidR="00722748" w:rsidRPr="00722748" w:rsidRDefault="00722748" w:rsidP="00722748">
    <w:pPr>
      <w:pStyle w:val="Cabealho"/>
      <w:jc w:val="right"/>
      <w:rPr>
        <w:sz w:val="12"/>
        <w:szCs w:val="12"/>
      </w:rPr>
    </w:pPr>
    <w:r w:rsidRPr="00722748">
      <w:rPr>
        <w:b/>
        <w:bCs/>
        <w:sz w:val="12"/>
        <w:szCs w:val="12"/>
      </w:rPr>
      <w:t>Controladoria-Geral do Município</w:t>
    </w:r>
  </w:p>
  <w:p w14:paraId="2E1CD11C" w14:textId="14FBD048" w:rsidR="00722748" w:rsidRPr="00722748" w:rsidRDefault="00722748" w:rsidP="00722748">
    <w:pPr>
      <w:pStyle w:val="Cabealho"/>
      <w:jc w:val="right"/>
      <w:rPr>
        <w:sz w:val="12"/>
        <w:szCs w:val="12"/>
      </w:rPr>
    </w:pPr>
    <w:r w:rsidRPr="00722748">
      <w:rPr>
        <w:sz w:val="12"/>
        <w:szCs w:val="12"/>
      </w:rPr>
      <w:t>Av. João Gualberto, 623 - Conj. 804</w:t>
    </w:r>
  </w:p>
  <w:p w14:paraId="228EFA10" w14:textId="64BC9F83" w:rsidR="00722748" w:rsidRPr="00722748" w:rsidRDefault="00722748" w:rsidP="00722748">
    <w:pPr>
      <w:pStyle w:val="Cabealho"/>
      <w:jc w:val="right"/>
      <w:rPr>
        <w:sz w:val="12"/>
        <w:szCs w:val="12"/>
      </w:rPr>
    </w:pPr>
    <w:r w:rsidRPr="00722748">
      <w:rPr>
        <w:sz w:val="12"/>
        <w:szCs w:val="12"/>
      </w:rPr>
      <w:t>Alto da Glória</w:t>
    </w:r>
  </w:p>
  <w:p w14:paraId="621BF7F3" w14:textId="72EAB8B4" w:rsidR="00722748" w:rsidRPr="00722748" w:rsidRDefault="00722748" w:rsidP="00722748">
    <w:pPr>
      <w:pStyle w:val="Cabealho"/>
      <w:jc w:val="right"/>
      <w:rPr>
        <w:sz w:val="12"/>
        <w:szCs w:val="12"/>
      </w:rPr>
    </w:pPr>
    <w:r w:rsidRPr="00722748">
      <w:rPr>
        <w:sz w:val="12"/>
        <w:szCs w:val="12"/>
      </w:rPr>
      <w:t>80030-000 - Curitiba/PR</w:t>
    </w:r>
  </w:p>
  <w:p w14:paraId="660411B2" w14:textId="77777777" w:rsidR="00722748" w:rsidRPr="00722748" w:rsidRDefault="00722748" w:rsidP="00722748">
    <w:pPr>
      <w:pStyle w:val="Cabealho"/>
      <w:jc w:val="right"/>
      <w:rPr>
        <w:sz w:val="12"/>
        <w:szCs w:val="12"/>
      </w:rPr>
    </w:pPr>
    <w:proofErr w:type="spellStart"/>
    <w:r w:rsidRPr="00722748">
      <w:rPr>
        <w:sz w:val="12"/>
        <w:szCs w:val="12"/>
      </w:rPr>
      <w:t>Tel</w:t>
    </w:r>
    <w:proofErr w:type="spellEnd"/>
    <w:r w:rsidRPr="00722748">
      <w:rPr>
        <w:sz w:val="12"/>
        <w:szCs w:val="12"/>
      </w:rPr>
      <w:t xml:space="preserve"> (41) 3350-8218</w:t>
    </w:r>
  </w:p>
  <w:p w14:paraId="4527D37F" w14:textId="77777777" w:rsidR="00722748" w:rsidRPr="00722748" w:rsidRDefault="00722748" w:rsidP="00722748">
    <w:pPr>
      <w:pStyle w:val="Cabealho"/>
      <w:jc w:val="right"/>
      <w:rPr>
        <w:sz w:val="12"/>
        <w:szCs w:val="12"/>
      </w:rPr>
    </w:pPr>
    <w:proofErr w:type="spellStart"/>
    <w:r w:rsidRPr="00722748">
      <w:rPr>
        <w:sz w:val="12"/>
        <w:szCs w:val="12"/>
      </w:rPr>
      <w:t>Tel</w:t>
    </w:r>
    <w:proofErr w:type="spellEnd"/>
    <w:r w:rsidRPr="00722748">
      <w:rPr>
        <w:sz w:val="12"/>
        <w:szCs w:val="12"/>
      </w:rPr>
      <w:t xml:space="preserve"> (41) 3350-8101</w:t>
    </w:r>
  </w:p>
  <w:p w14:paraId="7A0234BB" w14:textId="77777777" w:rsidR="00722748" w:rsidRPr="00722748" w:rsidRDefault="00722748" w:rsidP="007227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6336" w14:textId="77777777" w:rsidR="00722748" w:rsidRDefault="007227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10"/>
    <w:rsid w:val="000211CD"/>
    <w:rsid w:val="00027FE0"/>
    <w:rsid w:val="0005776B"/>
    <w:rsid w:val="000758C1"/>
    <w:rsid w:val="000D7E19"/>
    <w:rsid w:val="00151334"/>
    <w:rsid w:val="00220322"/>
    <w:rsid w:val="00246D1E"/>
    <w:rsid w:val="00333330"/>
    <w:rsid w:val="00337340"/>
    <w:rsid w:val="00392AF0"/>
    <w:rsid w:val="003A531A"/>
    <w:rsid w:val="003A5833"/>
    <w:rsid w:val="003E7410"/>
    <w:rsid w:val="00405817"/>
    <w:rsid w:val="00487E73"/>
    <w:rsid w:val="00503A0D"/>
    <w:rsid w:val="005132B1"/>
    <w:rsid w:val="005C44F8"/>
    <w:rsid w:val="005D36CB"/>
    <w:rsid w:val="005D7AFA"/>
    <w:rsid w:val="006029A1"/>
    <w:rsid w:val="00616F44"/>
    <w:rsid w:val="00645F1B"/>
    <w:rsid w:val="00714A95"/>
    <w:rsid w:val="00714F6A"/>
    <w:rsid w:val="0071699D"/>
    <w:rsid w:val="007221CE"/>
    <w:rsid w:val="00722748"/>
    <w:rsid w:val="00870295"/>
    <w:rsid w:val="008735F0"/>
    <w:rsid w:val="00875E96"/>
    <w:rsid w:val="00894FA9"/>
    <w:rsid w:val="008B3C93"/>
    <w:rsid w:val="009A2F4A"/>
    <w:rsid w:val="00AF307E"/>
    <w:rsid w:val="00B025F5"/>
    <w:rsid w:val="00B41E7C"/>
    <w:rsid w:val="00BD11AC"/>
    <w:rsid w:val="00BD25CE"/>
    <w:rsid w:val="00C655E6"/>
    <w:rsid w:val="00CA70EE"/>
    <w:rsid w:val="00D063E3"/>
    <w:rsid w:val="00DD2AC9"/>
    <w:rsid w:val="00DE5CA2"/>
    <w:rsid w:val="00E20D13"/>
    <w:rsid w:val="00FA7A2A"/>
    <w:rsid w:val="00F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CC14F"/>
  <w15:docId w15:val="{C2948F07-6205-4BF4-B519-B605637D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11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TOTAIS</a:t>
            </a:r>
            <a:r>
              <a:rPr lang="en-US" baseline="0"/>
              <a:t> ATENDIMENTOS/RECURSOS</a:t>
            </a:r>
          </a:p>
          <a:p>
            <a:pPr>
              <a:defRPr/>
            </a:pP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C80-46E1-84BB-4A4C41FAC3A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C80-46E1-84BB-4A4C41FAC3A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C80-46E1-84BB-4A4C41FAC3A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C80-46E1-84BB-4A4C41FAC3A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C80-46E1-84BB-4A4C41FAC3A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C80-46E1-84BB-4A4C41FAC3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Planilha1!$A$2:$A$7</c:f>
              <c:strCache>
                <c:ptCount val="6"/>
                <c:pt idx="0">
                  <c:v>Total solicitações cadastradas</c:v>
                </c:pt>
                <c:pt idx="1">
                  <c:v>Respondidas dentro do prazo 97,45</c:v>
                </c:pt>
                <c:pt idx="2">
                  <c:v>Respondidas fora do prazo 3,93%</c:v>
                </c:pt>
                <c:pt idx="3">
                  <c:v>Solicitações indeferidas 12,89%</c:v>
                </c:pt>
                <c:pt idx="4">
                  <c:v>1º recurso impetrado 4,75%</c:v>
                </c:pt>
                <c:pt idx="5">
                  <c:v>2º recurso impetrado 1,24%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1453</c:v>
                </c:pt>
                <c:pt idx="1">
                  <c:v>1416</c:v>
                </c:pt>
                <c:pt idx="2">
                  <c:v>57</c:v>
                </c:pt>
                <c:pt idx="3">
                  <c:v>187</c:v>
                </c:pt>
                <c:pt idx="4">
                  <c:v>69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C80-46E1-84BB-4A4C41FAC3A2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CC80-46E1-84BB-4A4C41FAC3A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CC80-46E1-84BB-4A4C41FAC3A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CC80-46E1-84BB-4A4C41FAC3A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CC80-46E1-84BB-4A4C41FAC3A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CC80-46E1-84BB-4A4C41FAC3A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CC80-46E1-84BB-4A4C41FAC3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Planilha1!$A$2:$A$7</c:f>
              <c:strCache>
                <c:ptCount val="6"/>
                <c:pt idx="0">
                  <c:v>Total solicitações cadastradas</c:v>
                </c:pt>
                <c:pt idx="1">
                  <c:v>Respondidas dentro do prazo 97,45</c:v>
                </c:pt>
                <c:pt idx="2">
                  <c:v>Respondidas fora do prazo 3,93%</c:v>
                </c:pt>
                <c:pt idx="3">
                  <c:v>Solicitações indeferidas 12,89%</c:v>
                </c:pt>
                <c:pt idx="4">
                  <c:v>1º recurso impetrado 4,75%</c:v>
                </c:pt>
                <c:pt idx="5">
                  <c:v>2º recurso impetrado 1,24%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CC80-46E1-84BB-4A4C41FAC3A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204913296938551"/>
          <c:y val="0.25089720927741171"/>
          <c:w val="0.38387678609788078"/>
          <c:h val="0.665276364263990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REQUERENTES GÊNERO</a:t>
            </a:r>
          </a:p>
          <a:p>
            <a:pPr>
              <a:defRPr/>
            </a:pP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07-49E6-A542-144BE1215B2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07-49E6-A542-144BE1215B2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07-49E6-A542-144BE1215B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Planilha1!$A$23:$A$25</c:f>
              <c:strCache>
                <c:ptCount val="3"/>
                <c:pt idx="0">
                  <c:v>Requerentes sexo masculino 52,10%</c:v>
                </c:pt>
                <c:pt idx="1">
                  <c:v>Requerentes sexo feminino 43,84</c:v>
                </c:pt>
                <c:pt idx="2">
                  <c:v>Requerentes optaram por não informar 4,06</c:v>
                </c:pt>
              </c:strCache>
            </c:strRef>
          </c:cat>
          <c:val>
            <c:numRef>
              <c:f>Planilha1!$B$23:$B$25</c:f>
              <c:numCache>
                <c:formatCode>General</c:formatCode>
                <c:ptCount val="3"/>
                <c:pt idx="0">
                  <c:v>757</c:v>
                </c:pt>
                <c:pt idx="1">
                  <c:v>637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07-49E6-A542-144BE1215B2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102252843394581"/>
          <c:y val="0.33604285917181653"/>
          <c:w val="0.35675524934383196"/>
          <c:h val="0.498880533455888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REQUERENTES FAIXA ETÁRIA</a:t>
            </a:r>
          </a:p>
          <a:p>
            <a:pPr>
              <a:defRPr/>
            </a:pP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4781341805958464"/>
          <c:y val="0.26722055020982577"/>
          <c:w val="0.34063065800985404"/>
          <c:h val="0.6076975879975250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A91-430D-B54F-973C2E052A5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A91-430D-B54F-973C2E052A5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A91-430D-B54F-973C2E052A5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A91-430D-B54F-973C2E052A5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A91-430D-B54F-973C2E052A5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A91-430D-B54F-973C2E052A5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A91-430D-B54F-973C2E052A5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A91-430D-B54F-973C2E052A5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0A91-430D-B54F-973C2E052A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Planilha1!$A$26:$A$34</c:f>
              <c:strCache>
                <c:ptCount val="9"/>
                <c:pt idx="0">
                  <c:v>Requerentes até 20</c:v>
                </c:pt>
                <c:pt idx="1">
                  <c:v>Requerentes entre 20 e 30 anos</c:v>
                </c:pt>
                <c:pt idx="2">
                  <c:v>Requerentes entre 30 e 40 anos</c:v>
                </c:pt>
                <c:pt idx="3">
                  <c:v>Requerentes entre 40 e 50 anos</c:v>
                </c:pt>
                <c:pt idx="4">
                  <c:v>Requerentes 50 e 60 anos</c:v>
                </c:pt>
                <c:pt idx="5">
                  <c:v>Requerentes entre 60 e 70 anos </c:v>
                </c:pt>
                <c:pt idx="6">
                  <c:v>Requerentes entre 70 e 80 anos</c:v>
                </c:pt>
                <c:pt idx="7">
                  <c:v>Requerentes acima dos 80 anos</c:v>
                </c:pt>
                <c:pt idx="8">
                  <c:v>Requerentes não informaram idade</c:v>
                </c:pt>
              </c:strCache>
            </c:strRef>
          </c:cat>
          <c:val>
            <c:numRef>
              <c:f>Planilha1!$B$26:$B$34</c:f>
              <c:numCache>
                <c:formatCode>General</c:formatCode>
                <c:ptCount val="9"/>
                <c:pt idx="0">
                  <c:v>69</c:v>
                </c:pt>
                <c:pt idx="1">
                  <c:v>344</c:v>
                </c:pt>
                <c:pt idx="2">
                  <c:v>276</c:v>
                </c:pt>
                <c:pt idx="3">
                  <c:v>304</c:v>
                </c:pt>
                <c:pt idx="4">
                  <c:v>228</c:v>
                </c:pt>
                <c:pt idx="5">
                  <c:v>129</c:v>
                </c:pt>
                <c:pt idx="6">
                  <c:v>58</c:v>
                </c:pt>
                <c:pt idx="7">
                  <c:v>14</c:v>
                </c:pt>
                <c:pt idx="8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A91-430D-B54F-973C2E052A5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66666666666672"/>
          <c:y val="0.18062153689122193"/>
          <c:w val="0.34166666666666667"/>
          <c:h val="0.60417322834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DEMANDAS POR REGIONAL</a:t>
            </a:r>
          </a:p>
          <a:p>
            <a:pPr>
              <a:defRPr/>
            </a:pP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629-4CB6-898E-62FE961D9A5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629-4CB6-898E-62FE961D9A5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629-4CB6-898E-62FE961D9A5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629-4CB6-898E-62FE961D9A5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629-4CB6-898E-62FE961D9A5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629-4CB6-898E-62FE961D9A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Planilha1!$A$37:$A$42</c:f>
              <c:strCache>
                <c:ptCount val="6"/>
                <c:pt idx="0">
                  <c:v>Matriz 16,79%</c:v>
                </c:pt>
                <c:pt idx="1">
                  <c:v>Boa Vista 11,63%</c:v>
                </c:pt>
                <c:pt idx="2">
                  <c:v>Portão 10,46%</c:v>
                </c:pt>
                <c:pt idx="3">
                  <c:v>Cajuru 8,67%</c:v>
                </c:pt>
                <c:pt idx="4">
                  <c:v>Santa Felicidade 7,09%</c:v>
                </c:pt>
                <c:pt idx="5">
                  <c:v>Demais Regionais 45,35%</c:v>
                </c:pt>
              </c:strCache>
            </c:strRef>
          </c:cat>
          <c:val>
            <c:numRef>
              <c:f>Planilha1!$B$37:$B$42</c:f>
              <c:numCache>
                <c:formatCode>General</c:formatCode>
                <c:ptCount val="6"/>
                <c:pt idx="0">
                  <c:v>244</c:v>
                </c:pt>
                <c:pt idx="1">
                  <c:v>169</c:v>
                </c:pt>
                <c:pt idx="2">
                  <c:v>152</c:v>
                </c:pt>
                <c:pt idx="3">
                  <c:v>126</c:v>
                </c:pt>
                <c:pt idx="4">
                  <c:v>103</c:v>
                </c:pt>
                <c:pt idx="5">
                  <c:v>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629-4CB6-898E-62FE961D9A5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DEMANDAS POR BAIRRO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559-4B36-9177-5ACDE23252F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559-4B36-9177-5ACDE23252F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559-4B36-9177-5ACDE23252F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559-4B36-9177-5ACDE23252F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559-4B36-9177-5ACDE23252F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559-4B36-9177-5ACDE23252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Planilha1!$A$44:$A$49</c:f>
              <c:strCache>
                <c:ptCount val="6"/>
                <c:pt idx="0">
                  <c:v>Centro 5,43%</c:v>
                </c:pt>
                <c:pt idx="1">
                  <c:v>Cidade Industrial de Curitiba 4,89%</c:v>
                </c:pt>
                <c:pt idx="2">
                  <c:v>Água Verde 3,92%</c:v>
                </c:pt>
                <c:pt idx="3">
                  <c:v>Cajuru 3,51%</c:v>
                </c:pt>
                <c:pt idx="4">
                  <c:v>Boqueirão 3,37%</c:v>
                </c:pt>
                <c:pt idx="5">
                  <c:v>Demais Bairros 78,66%</c:v>
                </c:pt>
              </c:strCache>
            </c:strRef>
          </c:cat>
          <c:val>
            <c:numRef>
              <c:f>Planilha1!$B$44:$B$49</c:f>
              <c:numCache>
                <c:formatCode>General</c:formatCode>
                <c:ptCount val="6"/>
                <c:pt idx="0">
                  <c:v>79</c:v>
                </c:pt>
                <c:pt idx="1">
                  <c:v>71</c:v>
                </c:pt>
                <c:pt idx="2">
                  <c:v>57</c:v>
                </c:pt>
                <c:pt idx="3">
                  <c:v>51</c:v>
                </c:pt>
                <c:pt idx="4">
                  <c:v>49</c:v>
                </c:pt>
                <c:pt idx="5">
                  <c:v>1146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559-4B36-9177-5ACDE23252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959186351706039"/>
          <c:y val="0.23407347467724698"/>
          <c:w val="0.39651924759405072"/>
          <c:h val="0.646563187116903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SECRETARIAS MAIS DEMANDADAS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EB3-4C53-99D6-2E8E9FFBC62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EB3-4C53-99D6-2E8E9FFBC62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EB3-4C53-99D6-2E8E9FFBC62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EB3-4C53-99D6-2E8E9FFBC62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EB3-4C53-99D6-2E8E9FFBC62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EB3-4C53-99D6-2E8E9FFBC6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Planilha1!$A$51:$A$56</c:f>
              <c:strCache>
                <c:ptCount val="6"/>
                <c:pt idx="0">
                  <c:v>Secretaria Municipal da Saúde 11,1%</c:v>
                </c:pt>
                <c:pt idx="1">
                  <c:v>Urbanização de Curitiba URBS 9,1%</c:v>
                </c:pt>
                <c:pt idx="2">
                  <c:v>Secretaria Municipal do Meio Ambiente 8,82%</c:v>
                </c:pt>
                <c:pt idx="3">
                  <c:v>Secretaria Municipal da Educação 7,86%</c:v>
                </c:pt>
                <c:pt idx="4">
                  <c:v>Secretaria Municipal de Administração 7,37%</c:v>
                </c:pt>
                <c:pt idx="5">
                  <c:v>Demais Secretarias 55,82%</c:v>
                </c:pt>
              </c:strCache>
            </c:strRef>
          </c:cat>
          <c:val>
            <c:numRef>
              <c:f>Planilha1!$B$51:$B$56</c:f>
              <c:numCache>
                <c:formatCode>General</c:formatCode>
                <c:ptCount val="6"/>
                <c:pt idx="0">
                  <c:v>161</c:v>
                </c:pt>
                <c:pt idx="1">
                  <c:v>132</c:v>
                </c:pt>
                <c:pt idx="2">
                  <c:v>128</c:v>
                </c:pt>
                <c:pt idx="3">
                  <c:v>114</c:v>
                </c:pt>
                <c:pt idx="4">
                  <c:v>107</c:v>
                </c:pt>
                <c:pt idx="5">
                  <c:v>811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EB3-4C53-99D6-2E8E9FFBC62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717389022024417"/>
          <c:y val="0.18442854673891537"/>
          <c:w val="0.47615948875955733"/>
          <c:h val="0.733091635379137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Alberto Micko</dc:creator>
  <cp:keywords/>
  <dc:description/>
  <cp:lastModifiedBy>Alexander Dzieciol Tolentino</cp:lastModifiedBy>
  <cp:revision>2</cp:revision>
  <dcterms:created xsi:type="dcterms:W3CDTF">2025-08-19T13:06:00Z</dcterms:created>
  <dcterms:modified xsi:type="dcterms:W3CDTF">2025-08-19T13:06:00Z</dcterms:modified>
</cp:coreProperties>
</file>