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AAD8" w14:textId="77777777" w:rsidR="006546A8" w:rsidRPr="0078599C" w:rsidRDefault="006546A8" w:rsidP="006546A8">
      <w:pPr>
        <w:spacing w:after="80" w:line="276" w:lineRule="auto"/>
        <w:ind w:left="142" w:right="127" w:firstLine="0"/>
        <w:jc w:val="left"/>
        <w:rPr>
          <w:b/>
          <w:sz w:val="24"/>
        </w:rPr>
      </w:pPr>
      <w:r w:rsidRPr="00724F4B">
        <w:rPr>
          <w:b/>
          <w:sz w:val="24"/>
        </w:rPr>
        <w:t>TERMO DE COMPROMISSO PARA EXECUÇÃO DE OBRA VIÁRIA QUE FAZEM ENTRE SI O MUNICÍPIO DE CURITIBA, PELA SECRETARIA MUNICIPAL DO URBANISMO E .............................</w:t>
      </w:r>
    </w:p>
    <w:p w14:paraId="573F03BF" w14:textId="77777777" w:rsidR="006546A8" w:rsidRDefault="006546A8" w:rsidP="006546A8">
      <w:pPr>
        <w:spacing w:after="0"/>
        <w:ind w:left="142" w:right="127" w:firstLine="0"/>
        <w:jc w:val="center"/>
        <w:rPr>
          <w:b/>
          <w:sz w:val="32"/>
        </w:rPr>
      </w:pPr>
    </w:p>
    <w:p w14:paraId="277FAA14" w14:textId="77777777" w:rsidR="006546A8" w:rsidRDefault="006546A8" w:rsidP="006546A8">
      <w:pPr>
        <w:spacing w:after="80"/>
        <w:ind w:left="142" w:right="127" w:firstLine="0"/>
        <w:jc w:val="left"/>
        <w:rPr>
          <w:b/>
        </w:rPr>
      </w:pPr>
      <w:r w:rsidRPr="00441876">
        <w:rPr>
          <w:b/>
        </w:rPr>
        <w:t>Processo nº:</w:t>
      </w:r>
      <w:r>
        <w:rPr>
          <w:b/>
        </w:rPr>
        <w:t xml:space="preserve"> 00-000000/XXXX</w:t>
      </w:r>
      <w:r w:rsidRPr="00441876">
        <w:rPr>
          <w:b/>
        </w:rPr>
        <w:t xml:space="preserve"> </w:t>
      </w:r>
    </w:p>
    <w:p w14:paraId="67AC861F" w14:textId="77777777" w:rsidR="006546A8" w:rsidRDefault="006546A8" w:rsidP="006546A8">
      <w:pPr>
        <w:spacing w:after="80"/>
        <w:ind w:left="142" w:right="127" w:firstLine="0"/>
        <w:jc w:val="left"/>
        <w:rPr>
          <w:b/>
        </w:rPr>
      </w:pPr>
      <w:r>
        <w:rPr>
          <w:b/>
        </w:rPr>
        <w:t>Subdivisão de lote com transferência de diretriz de arruamento ao Município de Curitiba</w:t>
      </w:r>
    </w:p>
    <w:p w14:paraId="60A250B1" w14:textId="0EEAD1EC" w:rsidR="006546A8" w:rsidRPr="00194674" w:rsidRDefault="006546A8" w:rsidP="006546A8">
      <w:pPr>
        <w:spacing w:after="80"/>
        <w:ind w:left="142" w:right="127" w:firstLine="0"/>
        <w:jc w:val="left"/>
        <w:rPr>
          <w:b/>
        </w:rPr>
      </w:pPr>
      <w:r w:rsidRPr="00441876">
        <w:rPr>
          <w:b/>
        </w:rPr>
        <w:t>Preço Total R</w:t>
      </w:r>
      <w:r w:rsidRPr="00194674">
        <w:rPr>
          <w:b/>
        </w:rPr>
        <w:t xml:space="preserve">$ </w:t>
      </w:r>
      <w:r w:rsidR="005367DF">
        <w:rPr>
          <w:b/>
        </w:rPr>
        <w:t>........</w:t>
      </w:r>
      <w:r w:rsidRPr="00194674">
        <w:rPr>
          <w:b/>
        </w:rPr>
        <w:t xml:space="preserve"> </w:t>
      </w:r>
    </w:p>
    <w:p w14:paraId="4DFE72B0" w14:textId="77777777" w:rsidR="006546A8" w:rsidRPr="00194674" w:rsidRDefault="006546A8" w:rsidP="006546A8">
      <w:pPr>
        <w:spacing w:after="80"/>
        <w:ind w:left="142" w:right="127" w:firstLine="0"/>
        <w:jc w:val="left"/>
        <w:rPr>
          <w:b/>
        </w:rPr>
      </w:pPr>
      <w:r w:rsidRPr="00194674">
        <w:rPr>
          <w:b/>
        </w:rPr>
        <w:t>Prazo de Execução: 05 (cinco) anos</w:t>
      </w:r>
    </w:p>
    <w:p w14:paraId="3582A25B" w14:textId="77777777" w:rsidR="006546A8" w:rsidRPr="00194674" w:rsidRDefault="006546A8" w:rsidP="006546A8">
      <w:pPr>
        <w:spacing w:after="0"/>
        <w:ind w:left="142" w:right="127" w:firstLine="0"/>
        <w:jc w:val="center"/>
        <w:rPr>
          <w:rFonts w:eastAsia="Times New Roman"/>
        </w:rPr>
      </w:pPr>
    </w:p>
    <w:p w14:paraId="6F9B3D6B" w14:textId="19C8C3F3" w:rsidR="006546A8" w:rsidRDefault="006546A8" w:rsidP="00BB4745">
      <w:pPr>
        <w:rPr>
          <w:rFonts w:eastAsia="Times New Roman"/>
        </w:rPr>
      </w:pPr>
      <w:r w:rsidRPr="00194674">
        <w:rPr>
          <w:rFonts w:eastAsia="Times New Roman"/>
        </w:rPr>
        <w:t xml:space="preserve">O MUNICÍPIO DE CURITIBA, pela SECRETARIA MUNICIPAL DO URBANISMO, com sede na Avenida João Gualberto, nº 623, 4º andar, torre C – Bairro Alto da Glória, nesta cidade, inscrita no CNPJ sob o nº 76.417.005/0001-86, neste ato representada por </w:t>
      </w:r>
      <w:r w:rsidR="00BB4745">
        <w:rPr>
          <w:rFonts w:eastAsia="Times New Roman"/>
        </w:rPr>
        <w:t xml:space="preserve">..... </w:t>
      </w:r>
      <w:r w:rsidRPr="00194674">
        <w:rPr>
          <w:rFonts w:eastAsia="Times New Roman"/>
        </w:rPr>
        <w:t xml:space="preserve">, Secretário Municipal do Urbanismo, a, portador da Identidade Funcional nº </w:t>
      </w:r>
      <w:r w:rsidR="00BB4745">
        <w:rPr>
          <w:rFonts w:eastAsia="Times New Roman"/>
        </w:rPr>
        <w:t xml:space="preserve">...... </w:t>
      </w:r>
      <w:r w:rsidRPr="00194674">
        <w:rPr>
          <w:rFonts w:eastAsia="Times New Roman"/>
        </w:rPr>
        <w:t>, doravante denominado MUNICÍPIO, e a empresa .............................., com sede na ............, inscrita no CNPJ/MF sob o nº ............................, neste ato representada por ............................................. , CPF nº..........................., conforme ............................. , doravante denominada COMPROMISSÁRIO, com fundamento no Processo nº 00-000000/XXXX, pelas disposições do Decreto Municipal nº XXX, de XX de XXX de XXXX, e</w:t>
      </w:r>
      <w:r w:rsidRPr="00441876">
        <w:rPr>
          <w:rFonts w:eastAsia="Times New Roman"/>
        </w:rPr>
        <w:t xml:space="preserve"> </w:t>
      </w:r>
      <w:r>
        <w:rPr>
          <w:rFonts w:eastAsia="Times New Roman"/>
        </w:rPr>
        <w:t>demais</w:t>
      </w:r>
      <w:r w:rsidRPr="00441876">
        <w:rPr>
          <w:rFonts w:eastAsia="Times New Roman"/>
        </w:rPr>
        <w:t xml:space="preserve"> normativos municipais aplicáveis, resolvem celebrar o presente instrumento, mediante as cláusulas e condições a seguir enunciadas.</w:t>
      </w:r>
    </w:p>
    <w:p w14:paraId="31903333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0408F2CA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383C6B">
        <w:rPr>
          <w:rFonts w:eastAsia="Times New Roman"/>
          <w:b/>
          <w:bCs/>
        </w:rPr>
        <w:t xml:space="preserve">CLÁUSULA PRIMEIRA – OBJETO </w:t>
      </w:r>
    </w:p>
    <w:p w14:paraId="6656D8E4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2CCB94CC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>
        <w:rPr>
          <w:rFonts w:eastAsia="Times New Roman"/>
        </w:rPr>
        <w:t xml:space="preserve">O objeto do presente termo é a “EXECUÇÃO DE OBRA VIÁRIA CORRESPONDENTE A DIRETRIZ DE ARRUAMENTO </w:t>
      </w:r>
      <w:r w:rsidRPr="00194674">
        <w:rPr>
          <w:rFonts w:eastAsia="Times New Roman"/>
        </w:rPr>
        <w:t>TRANSFERIDA AO MUNICÍPIO DE CURITIBA”, a ser executada pelo COMPROMISSÁRIO, nos termos do Decreto Municipal nº XXX, de XX de XXX de XXXX, conforme projeto geométrico apro</w:t>
      </w:r>
      <w:r>
        <w:rPr>
          <w:rFonts w:eastAsia="Times New Roman"/>
        </w:rPr>
        <w:t xml:space="preserve">vado por meio do protocolo </w:t>
      </w:r>
      <w:r w:rsidRPr="00724F4B">
        <w:rPr>
          <w:rFonts w:eastAsia="Times New Roman"/>
        </w:rPr>
        <w:t>01-000000/XXXX</w:t>
      </w:r>
      <w:r>
        <w:rPr>
          <w:rFonts w:eastAsia="Times New Roman"/>
        </w:rPr>
        <w:t xml:space="preserve">, parte integrante anexa a este termo. </w:t>
      </w:r>
    </w:p>
    <w:p w14:paraId="19181427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4BC9DEEE" w14:textId="7A888482" w:rsidR="006546A8" w:rsidRDefault="006D6454" w:rsidP="006546A8">
      <w:pPr>
        <w:spacing w:after="0"/>
        <w:ind w:left="142" w:right="127" w:firstLine="0"/>
        <w:rPr>
          <w:rFonts w:eastAsia="Times New Roman"/>
        </w:rPr>
      </w:pPr>
      <w:r>
        <w:rPr>
          <w:rFonts w:eastAsia="Times New Roman"/>
        </w:rPr>
        <w:t xml:space="preserve">O compromisso de </w:t>
      </w:r>
      <w:r w:rsidR="006546A8" w:rsidRPr="00724F4B">
        <w:rPr>
          <w:rFonts w:eastAsia="Times New Roman"/>
        </w:rPr>
        <w:t>execução da obra constitui condição indispensável para a aprovação do projeto de parcelamento do solo (subdivisão de lote), nos termos da Lei Municipal nº 2942, de 27 de dezembro de 1966, e da Lei Municipal nº 14.771, de 17 de dezembro de 2015.</w:t>
      </w:r>
    </w:p>
    <w:p w14:paraId="1A7A243C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5ACCC81E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383C6B">
        <w:rPr>
          <w:rFonts w:eastAsia="Times New Roman"/>
          <w:b/>
          <w:bCs/>
        </w:rPr>
        <w:t xml:space="preserve">CLÁUSULA </w:t>
      </w:r>
      <w:r>
        <w:rPr>
          <w:rFonts w:eastAsia="Times New Roman"/>
          <w:b/>
          <w:bCs/>
        </w:rPr>
        <w:t>SEGUNDA</w:t>
      </w:r>
      <w:r w:rsidRPr="00383C6B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>VIGÊNCIA E PRORROGAÇÃO</w:t>
      </w:r>
      <w:r w:rsidRPr="00383C6B">
        <w:rPr>
          <w:rFonts w:eastAsia="Times New Roman"/>
          <w:b/>
          <w:bCs/>
        </w:rPr>
        <w:t xml:space="preserve"> </w:t>
      </w:r>
    </w:p>
    <w:p w14:paraId="7D261B2F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39EDD6AE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>O prazo de execução integral das obras é de 05 (cinco) anos, contados da averbação da transferência da diretriz de arruamento na matrícula do imóvel.</w:t>
      </w:r>
      <w:r>
        <w:rPr>
          <w:rFonts w:eastAsia="Times New Roman"/>
        </w:rPr>
        <w:t xml:space="preserve"> </w:t>
      </w:r>
    </w:p>
    <w:p w14:paraId="7451ADBF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7C835EBC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>A vigência do presente Termo tem início com a sua assinatura e se estende até 180 (cento e oitenta) dias após o encerramento do prazo de execução, período destinado às ações administrativas de recebimento e comprovação final.</w:t>
      </w:r>
      <w:r w:rsidRPr="00B332F9">
        <w:rPr>
          <w:rFonts w:eastAsia="Times New Roman"/>
        </w:rPr>
        <w:t xml:space="preserve"> </w:t>
      </w:r>
    </w:p>
    <w:p w14:paraId="56D6574B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77DFC1F8" w14:textId="77777777" w:rsidR="006546A8" w:rsidRDefault="006546A8" w:rsidP="006546A8">
      <w:pPr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>A prorrogação do prazo para execução das obras de infraestrutura poderá ser solicitada pelo COMPROMISSÁRIO, mediante justificativa técnica e apresentação de novo cronograma físico de obras,</w:t>
      </w:r>
      <w:r w:rsidRPr="00724F4B">
        <w:t xml:space="preserve"> </w:t>
      </w:r>
      <w:r w:rsidRPr="00724F4B">
        <w:rPr>
          <w:rFonts w:eastAsia="Times New Roman"/>
        </w:rPr>
        <w:t>sujeita à análise e aprovação do MUNICÍPIO.</w:t>
      </w:r>
    </w:p>
    <w:p w14:paraId="5E212C3F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39AB4F1E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383C6B">
        <w:rPr>
          <w:rFonts w:eastAsia="Times New Roman"/>
          <w:b/>
          <w:bCs/>
        </w:rPr>
        <w:t xml:space="preserve">CLÁUSULA </w:t>
      </w:r>
      <w:r>
        <w:rPr>
          <w:rFonts w:eastAsia="Times New Roman"/>
          <w:b/>
          <w:bCs/>
        </w:rPr>
        <w:t>TERCEIRA</w:t>
      </w:r>
      <w:r w:rsidRPr="00383C6B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 xml:space="preserve">PREÇO </w:t>
      </w:r>
      <w:r w:rsidRPr="00383C6B">
        <w:rPr>
          <w:rFonts w:eastAsia="Times New Roman"/>
          <w:b/>
          <w:bCs/>
        </w:rPr>
        <w:t xml:space="preserve"> </w:t>
      </w:r>
    </w:p>
    <w:p w14:paraId="7C0710C1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361ABAAB" w14:textId="1E853206" w:rsidR="006546A8" w:rsidRPr="005367DF" w:rsidRDefault="006546A8" w:rsidP="00791E52">
      <w:pPr>
        <w:spacing w:after="0"/>
        <w:ind w:left="142" w:right="127" w:firstLine="0"/>
        <w:rPr>
          <w:rFonts w:eastAsia="Times New Roman"/>
          <w:color w:val="EE0000"/>
        </w:rPr>
      </w:pPr>
      <w:r w:rsidRPr="000E3B09">
        <w:rPr>
          <w:rFonts w:eastAsia="Times New Roman"/>
        </w:rPr>
        <w:t xml:space="preserve">O custo </w:t>
      </w:r>
      <w:r w:rsidR="00791E52" w:rsidRPr="000E3B09">
        <w:rPr>
          <w:rFonts w:eastAsia="Times New Roman"/>
        </w:rPr>
        <w:t>orçado</w:t>
      </w:r>
      <w:r w:rsidRPr="000E3B09">
        <w:rPr>
          <w:rFonts w:eastAsia="Times New Roman"/>
        </w:rPr>
        <w:t xml:space="preserve"> da obra é </w:t>
      </w:r>
      <w:r w:rsidRPr="00ED60E6">
        <w:rPr>
          <w:rFonts w:eastAsia="Times New Roman"/>
          <w:color w:val="auto"/>
        </w:rPr>
        <w:t xml:space="preserve">de R$ .......... (... por extenso), </w:t>
      </w:r>
      <w:r w:rsidR="000E3B09" w:rsidRPr="00ED60E6">
        <w:rPr>
          <w:rFonts w:eastAsia="Times New Roman"/>
          <w:color w:val="auto"/>
        </w:rPr>
        <w:t>atualizado anualmente pela Secretaria Municipal de Obras Públicas – SMOP, com base nos relatórios do Sistema Nacional de Pesquisa de Custos e Índices da Construção Civil – SINAPI, do Sistema de Custos Referenciais de Obras – SICRO e do Referencial de Preços – DER-PR, e disponibilizado no Portal da Prefeitura Municipal de Curitiba – PMC.</w:t>
      </w:r>
    </w:p>
    <w:p w14:paraId="2F2D834D" w14:textId="77777777" w:rsidR="005367DF" w:rsidRDefault="005367DF" w:rsidP="00791E52">
      <w:pPr>
        <w:spacing w:after="0"/>
        <w:ind w:left="142" w:right="127" w:firstLine="0"/>
        <w:rPr>
          <w:rFonts w:eastAsia="Times New Roman"/>
        </w:rPr>
      </w:pPr>
    </w:p>
    <w:p w14:paraId="293EFBC0" w14:textId="642D2673" w:rsidR="006546A8" w:rsidRDefault="00791E52" w:rsidP="006546A8">
      <w:pPr>
        <w:spacing w:after="0"/>
        <w:ind w:left="142" w:right="127" w:firstLine="0"/>
        <w:rPr>
          <w:rFonts w:eastAsia="Times New Roman"/>
        </w:rPr>
      </w:pPr>
      <w:r w:rsidRPr="000E3B09">
        <w:rPr>
          <w:rFonts w:eastAsia="Times New Roman"/>
        </w:rPr>
        <w:lastRenderedPageBreak/>
        <w:t xml:space="preserve">O custo orçado da obra, para fins de mensuração da garantia </w:t>
      </w:r>
      <w:r w:rsidR="006546A8" w:rsidRPr="000E3B09">
        <w:rPr>
          <w:rFonts w:eastAsia="Times New Roman"/>
        </w:rPr>
        <w:t>é apurado conforme a extensão do projeto geométrico aprovado por meio do protocolo 01-000000/XXXX, tendo como data base o ano de XXXX,</w:t>
      </w:r>
      <w:r w:rsidR="006546A8" w:rsidRPr="00194674">
        <w:rPr>
          <w:rFonts w:eastAsia="Times New Roman"/>
        </w:rPr>
        <w:t xml:space="preserve"> correspondente</w:t>
      </w:r>
      <w:r w:rsidR="006546A8" w:rsidRPr="00724F4B">
        <w:rPr>
          <w:rFonts w:eastAsia="Times New Roman"/>
        </w:rPr>
        <w:t xml:space="preserve"> ao ano exercício de aprovação do projeto de parcelamento do solo.</w:t>
      </w:r>
    </w:p>
    <w:p w14:paraId="704CB69C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4A0671E9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383C6B">
        <w:rPr>
          <w:rFonts w:eastAsia="Times New Roman"/>
          <w:b/>
          <w:bCs/>
        </w:rPr>
        <w:t xml:space="preserve">CLÁUSULA </w:t>
      </w:r>
      <w:r>
        <w:rPr>
          <w:rFonts w:eastAsia="Times New Roman"/>
          <w:b/>
          <w:bCs/>
        </w:rPr>
        <w:t>QUARTA</w:t>
      </w:r>
      <w:r w:rsidRPr="00383C6B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>EXECUÇÃO E ACOMPANHAMENTO DA OBRA</w:t>
      </w:r>
    </w:p>
    <w:p w14:paraId="744CDF91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4429BB68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 xml:space="preserve">Antes da execução da obra viária, o COMPROMISSÁRIO deverá obrigatoriamente aprovar os demais projetos complementares perante os </w:t>
      </w:r>
      <w:r>
        <w:rPr>
          <w:rFonts w:eastAsia="Times New Roman"/>
        </w:rPr>
        <w:t>setore</w:t>
      </w:r>
      <w:r w:rsidRPr="00724F4B">
        <w:rPr>
          <w:rFonts w:eastAsia="Times New Roman"/>
        </w:rPr>
        <w:t>s competentes da PMC:</w:t>
      </w:r>
      <w:r>
        <w:rPr>
          <w:rFonts w:eastAsia="Times New Roman"/>
        </w:rPr>
        <w:t xml:space="preserve"> </w:t>
      </w:r>
    </w:p>
    <w:p w14:paraId="100756D5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049AD8E3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</w:rPr>
      </w:pPr>
      <w:r w:rsidRPr="00383C6B">
        <w:rPr>
          <w:rFonts w:eastAsia="Times New Roman"/>
        </w:rPr>
        <w:t xml:space="preserve">I – </w:t>
      </w:r>
      <w:proofErr w:type="gramStart"/>
      <w:r w:rsidRPr="00383C6B">
        <w:rPr>
          <w:rFonts w:eastAsia="Times New Roman"/>
        </w:rPr>
        <w:t>projeto</w:t>
      </w:r>
      <w:proofErr w:type="gramEnd"/>
      <w:r w:rsidRPr="00383C6B">
        <w:rPr>
          <w:rFonts w:eastAsia="Times New Roman"/>
        </w:rPr>
        <w:t xml:space="preserve"> de contenção, terraplenagem e pavimentação: Departamento de Pavimentação da Secretaria Municipal de Obras Públicas – SMOP/OPP, obedecendo aos Procedimentos para Aprovação de Projetos de Pavimentação, conforme documento disponível no Portal da PMC;</w:t>
      </w:r>
    </w:p>
    <w:p w14:paraId="437F3616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024AB79F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</w:rPr>
      </w:pPr>
      <w:r w:rsidRPr="00383C6B">
        <w:rPr>
          <w:rFonts w:eastAsia="Times New Roman"/>
        </w:rPr>
        <w:t xml:space="preserve">II – </w:t>
      </w:r>
      <w:proofErr w:type="gramStart"/>
      <w:r w:rsidRPr="00383C6B">
        <w:rPr>
          <w:rFonts w:eastAsia="Times New Roman"/>
        </w:rPr>
        <w:t>projeto</w:t>
      </w:r>
      <w:proofErr w:type="gramEnd"/>
      <w:r w:rsidRPr="00383C6B">
        <w:rPr>
          <w:rFonts w:eastAsia="Times New Roman"/>
        </w:rPr>
        <w:t xml:space="preserve"> de galerias de águas pluviais: Departamento de Pontes e Drenagem da Secretaria Municipal de Obras Públicas – SMOP-OPO;</w:t>
      </w:r>
    </w:p>
    <w:p w14:paraId="07730922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633223EF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</w:rPr>
      </w:pPr>
      <w:r w:rsidRPr="00383C6B">
        <w:rPr>
          <w:rFonts w:eastAsia="Times New Roman"/>
        </w:rPr>
        <w:t>III – projeto de sinalização horizontal, vertical e semafórica: Superintendência de Trânsito da Secretaria Municipal de Defesa Social e Trânsito – SMDT; e</w:t>
      </w:r>
    </w:p>
    <w:p w14:paraId="15997CB5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3C51DDBB" w14:textId="77777777" w:rsidR="006546A8" w:rsidRPr="00441876" w:rsidRDefault="006546A8" w:rsidP="006546A8">
      <w:pPr>
        <w:spacing w:after="0"/>
        <w:ind w:left="142" w:right="127" w:firstLine="0"/>
        <w:rPr>
          <w:rFonts w:eastAsia="Times New Roman"/>
        </w:rPr>
      </w:pPr>
      <w:r w:rsidRPr="00383C6B">
        <w:rPr>
          <w:rFonts w:eastAsia="Times New Roman"/>
        </w:rPr>
        <w:t xml:space="preserve">IV – </w:t>
      </w:r>
      <w:proofErr w:type="gramStart"/>
      <w:r w:rsidRPr="00383C6B">
        <w:rPr>
          <w:rFonts w:eastAsia="Times New Roman"/>
        </w:rPr>
        <w:t>projeto</w:t>
      </w:r>
      <w:proofErr w:type="gramEnd"/>
      <w:r w:rsidRPr="00383C6B">
        <w:rPr>
          <w:rFonts w:eastAsia="Times New Roman"/>
        </w:rPr>
        <w:t xml:space="preserve"> de iluminação pública: Departamento de Iluminação Pública da Secretaria Municipal de Obras Públicas – SMOP-OPIP. Em caso de necessidade de implantar ou relocar estrutura da rede de distribuição urbana de energia elétrica, deverá aprovar o projeto de rede de distribuição urbana de energia elétrica na Companhia Paranaense de Energia – Copel.</w:t>
      </w:r>
    </w:p>
    <w:p w14:paraId="2BB42EB2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3A701B63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>
        <w:rPr>
          <w:rFonts w:eastAsia="Times New Roman"/>
        </w:rPr>
        <w:t xml:space="preserve">Após a aprovação dos projetos listados acima, a execução da obra será acompanhada e vistoriada pelo Departamento de Pavimentação – SMOP-OPP, conforme procedimentos, informações e termo de responsabilidade disponibilizados no Portal da PMC. </w:t>
      </w:r>
    </w:p>
    <w:p w14:paraId="79D76BB2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584B777C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>O COMPROMISSÁRIO deverá comunicar oficialmente ao MUNICÍPIO o início e a conclusão da execução das obras de infraestrutura, para fins de acompanhamento e fiscalização pela Administração</w:t>
      </w:r>
      <w:r>
        <w:rPr>
          <w:rFonts w:eastAsia="Times New Roman"/>
        </w:rPr>
        <w:t xml:space="preserve"> Pública Municipal</w:t>
      </w:r>
      <w:r w:rsidRPr="00724F4B">
        <w:rPr>
          <w:rFonts w:eastAsia="Times New Roman"/>
        </w:rPr>
        <w:t>.</w:t>
      </w:r>
    </w:p>
    <w:p w14:paraId="6233B892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753CA1C9" w14:textId="77777777" w:rsidR="006546A8" w:rsidRPr="00986243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 xml:space="preserve">Toda a responsabilidade na execução das obras será exclusiva do COMPROMISSÁRIO, devendo este arcar com todos os gastos, seja de material, mão de obra, projetos e execução, além das demais que se fizerem necessárias para a efetiva conclusão e entrega das obras, inclusive despesas com o licenciamento dos </w:t>
      </w:r>
      <w:r>
        <w:rPr>
          <w:rFonts w:eastAsia="Times New Roman"/>
        </w:rPr>
        <w:t xml:space="preserve">setores </w:t>
      </w:r>
      <w:r w:rsidRPr="00724F4B">
        <w:rPr>
          <w:rFonts w:eastAsia="Times New Roman"/>
        </w:rPr>
        <w:t>competentes, caso necessite.</w:t>
      </w:r>
    </w:p>
    <w:p w14:paraId="321799AD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4E6F4CDA" w14:textId="77777777" w:rsidR="006546A8" w:rsidRPr="00194674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194674">
        <w:rPr>
          <w:rFonts w:eastAsia="Times New Roman"/>
          <w:b/>
          <w:bCs/>
        </w:rPr>
        <w:t>CLÁUSULA QUINTA – GARANTIA</w:t>
      </w:r>
    </w:p>
    <w:p w14:paraId="1EE41A38" w14:textId="77777777" w:rsidR="006546A8" w:rsidRPr="00194674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2FCE93B6" w14:textId="77777777" w:rsidR="006546A8" w:rsidRPr="00194674" w:rsidRDefault="006546A8" w:rsidP="006546A8">
      <w:pPr>
        <w:spacing w:after="0"/>
        <w:ind w:left="142" w:right="127" w:firstLine="0"/>
        <w:rPr>
          <w:rFonts w:eastAsia="Times New Roman"/>
        </w:rPr>
      </w:pPr>
      <w:r w:rsidRPr="00194674">
        <w:rPr>
          <w:rFonts w:eastAsia="Times New Roman"/>
        </w:rPr>
        <w:t>Para assegurar a execução das obras, o COMPROMISSÁRIO oferece ao MUNICÍPIO, como garantia e por meio deste próprio instrumento, os imóveis remanescentes, nos termos do § 8º do art. 18 da Lei Federal nº 6.766/1979, do art. 23 da Lei Municipal nº 2.942/1966 e do parágrafo único do art. 26 da Lei Municipal nº 14.771/2015.</w:t>
      </w:r>
    </w:p>
    <w:p w14:paraId="23057DE4" w14:textId="77777777" w:rsidR="006546A8" w:rsidRPr="00724F4B" w:rsidRDefault="006546A8" w:rsidP="006546A8">
      <w:pPr>
        <w:spacing w:after="0"/>
        <w:ind w:left="142" w:right="127" w:firstLine="0"/>
        <w:rPr>
          <w:rFonts w:eastAsia="Times New Roman"/>
          <w:highlight w:val="yellow"/>
        </w:rPr>
      </w:pPr>
    </w:p>
    <w:p w14:paraId="24BB6653" w14:textId="77777777" w:rsidR="006546A8" w:rsidRPr="00194674" w:rsidRDefault="006546A8" w:rsidP="006546A8">
      <w:pPr>
        <w:spacing w:after="0"/>
        <w:ind w:left="142" w:right="127" w:firstLine="0"/>
        <w:rPr>
          <w:rFonts w:eastAsia="Times New Roman"/>
        </w:rPr>
      </w:pPr>
      <w:r w:rsidRPr="00194674">
        <w:rPr>
          <w:rFonts w:eastAsia="Times New Roman"/>
        </w:rPr>
        <w:t>Incumbirá ao COMPROMISSÁRIO averbar o presente instrumento na matrícula dos imóveis resultantes da subdivisão, correndo todos os custos da averbação por sua conta.</w:t>
      </w:r>
    </w:p>
    <w:p w14:paraId="44515778" w14:textId="77777777" w:rsidR="006546A8" w:rsidRPr="00194674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7F955DD9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194674">
        <w:rPr>
          <w:rFonts w:eastAsia="Times New Roman"/>
        </w:rPr>
        <w:t>A garantia poderá ser liberada à medida em que as obras forem sendo entregues, conforme critério do MUNICÍPIO. Após comunicação sobre a conclusão de cada etapa e minuciosa vistoria, o MUNICÍPIO lavrará Termo de Recebimento Parcial de Obras, relativo às obras concluídas, e poderá proceder a liberação da garantia correspondente ao que proporcionalmente foi executado, ficando esta liberação a seu critério.</w:t>
      </w:r>
    </w:p>
    <w:p w14:paraId="203E4412" w14:textId="77777777" w:rsidR="006546A8" w:rsidRPr="0078599C" w:rsidRDefault="006546A8" w:rsidP="006546A8">
      <w:pPr>
        <w:spacing w:after="0"/>
        <w:ind w:left="0" w:right="127" w:firstLine="0"/>
        <w:rPr>
          <w:rFonts w:eastAsia="Times New Roman"/>
        </w:rPr>
      </w:pPr>
      <w:r w:rsidRPr="00B01AD4">
        <w:rPr>
          <w:rFonts w:eastAsia="Times New Roman"/>
        </w:rPr>
        <w:t> </w:t>
      </w:r>
      <w:r>
        <w:rPr>
          <w:rFonts w:eastAsia="Times New Roman"/>
        </w:rPr>
        <w:t xml:space="preserve"> </w:t>
      </w:r>
    </w:p>
    <w:p w14:paraId="0FC6324B" w14:textId="1005AD13" w:rsidR="006546A8" w:rsidRPr="00201836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201836">
        <w:rPr>
          <w:rFonts w:eastAsia="Times New Roman"/>
          <w:b/>
          <w:bCs/>
        </w:rPr>
        <w:t xml:space="preserve">CLÁUSULA SEXTA – </w:t>
      </w:r>
      <w:r w:rsidR="00201836" w:rsidRPr="00201836">
        <w:rPr>
          <w:rFonts w:eastAsia="Times New Roman"/>
          <w:b/>
          <w:bCs/>
        </w:rPr>
        <w:t>INADIMPLEMENTO</w:t>
      </w:r>
      <w:r w:rsidRPr="00201836">
        <w:rPr>
          <w:rFonts w:eastAsia="Times New Roman"/>
          <w:b/>
          <w:bCs/>
        </w:rPr>
        <w:t xml:space="preserve"> </w:t>
      </w:r>
    </w:p>
    <w:p w14:paraId="41843339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07ADF298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  <w:r w:rsidRPr="00201836">
        <w:rPr>
          <w:rFonts w:eastAsia="Times New Roman"/>
        </w:rPr>
        <w:lastRenderedPageBreak/>
        <w:t>Na hipótese de as obras não serem executadas nos prazos fixados ou serem executadas em desacordo com as especificações técnicas, o MUNICÍPIO notificará o COMPROMISSÁRIO para que promova a correção ou a nova execução das etapas necessárias, no prazo que for estabelecido a critério da Administração Pública Municipal.</w:t>
      </w:r>
    </w:p>
    <w:p w14:paraId="37405F60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3B97BB85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  <w:r w:rsidRPr="00201836">
        <w:rPr>
          <w:rFonts w:eastAsia="Times New Roman"/>
        </w:rPr>
        <w:t>A notificação poderá ser realizada pessoalmente, por carta registrada com aviso de recebimento (AR), por publicação no Diário Oficial do Município ou por qualquer outro meio legal que assegure a ciência do COMPROMISSÁRIO.</w:t>
      </w:r>
    </w:p>
    <w:p w14:paraId="4701A865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25A604AF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  <w:r w:rsidRPr="00201836">
        <w:rPr>
          <w:rFonts w:eastAsia="Times New Roman"/>
        </w:rPr>
        <w:t xml:space="preserve">Decorrido o prazo concedido, sem a adoção das medidas determinadas, o MUNICÍPIO poderá proceder à execução da garantia, total ou proporcional ao valor das obras pendentes, visando à conclusão regular das etapas não cumpridas. </w:t>
      </w:r>
    </w:p>
    <w:p w14:paraId="6D0E66D1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5C8B576F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  <w:r w:rsidRPr="00201836">
        <w:rPr>
          <w:rFonts w:eastAsia="Times New Roman"/>
        </w:rPr>
        <w:t>A Administração Pública Municipal fica autorizada a alienar os imóveis caucionados, na proporção do valor das obras pendentes, a fim de viabilizar a execução das etapas não concluídas pelo COMPROMISSÁRIO, podendo adotar todas as medidas judiciais ou administrativas necessárias para assegurar o cumprimento deste Termo e a reparação integral de eventuais prejuízos ao interesse público, inclusive a cobrança de diferenças de custo decorrentes da execução subsidiária das obras.</w:t>
      </w:r>
    </w:p>
    <w:p w14:paraId="68A632BC" w14:textId="77777777" w:rsidR="006546A8" w:rsidRPr="00201836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4AF54856" w14:textId="50AC82BA" w:rsidR="006546A8" w:rsidRPr="00724F4B" w:rsidRDefault="006546A8" w:rsidP="006546A8">
      <w:pPr>
        <w:spacing w:after="0"/>
        <w:ind w:left="142" w:right="127" w:firstLine="0"/>
        <w:rPr>
          <w:rFonts w:eastAsia="Times New Roman"/>
        </w:rPr>
      </w:pPr>
      <w:r w:rsidRPr="00201836">
        <w:rPr>
          <w:rFonts w:eastAsia="Times New Roman"/>
        </w:rPr>
        <w:t>Sem prejuízo da execução da garantia, o COMPROMISSÁRIO estará sujeito à multa</w:t>
      </w:r>
      <w:r w:rsidR="00201836" w:rsidRPr="00201836">
        <w:rPr>
          <w:rFonts w:eastAsia="Times New Roman"/>
        </w:rPr>
        <w:t xml:space="preserve"> compensatória</w:t>
      </w:r>
      <w:r w:rsidRPr="00201836">
        <w:rPr>
          <w:rFonts w:eastAsia="Times New Roman"/>
        </w:rPr>
        <w:t xml:space="preserve"> de 5% (cinco por cento) sobre o valor </w:t>
      </w:r>
      <w:r w:rsidR="00101B95">
        <w:rPr>
          <w:rFonts w:eastAsia="Times New Roman"/>
        </w:rPr>
        <w:t>orçado</w:t>
      </w:r>
      <w:r w:rsidRPr="00201836">
        <w:rPr>
          <w:rFonts w:eastAsia="Times New Roman"/>
        </w:rPr>
        <w:t xml:space="preserve"> da obra.</w:t>
      </w:r>
    </w:p>
    <w:p w14:paraId="3EE4F69D" w14:textId="77777777" w:rsidR="006546A8" w:rsidRPr="00383C6B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70D5CA09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383C6B">
        <w:rPr>
          <w:rFonts w:eastAsia="Times New Roman"/>
          <w:b/>
          <w:bCs/>
        </w:rPr>
        <w:t xml:space="preserve">CLÁUSULA </w:t>
      </w:r>
      <w:r>
        <w:rPr>
          <w:rFonts w:eastAsia="Times New Roman"/>
          <w:b/>
          <w:bCs/>
        </w:rPr>
        <w:t>OITAVA</w:t>
      </w:r>
      <w:r w:rsidRPr="00383C6B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 xml:space="preserve">EXTINÇÃO </w:t>
      </w:r>
    </w:p>
    <w:p w14:paraId="54B4B5C7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33AE6C89" w14:textId="6AC7BE17" w:rsidR="006546A8" w:rsidRPr="00194674" w:rsidRDefault="006546A8" w:rsidP="006546A8">
      <w:pPr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 xml:space="preserve">A extinção do presente termo de compromisso se dará, ordinariamente, mediante a execução integral de seu objeto, devidamente atestada por meio dos termos de recebimento das obras </w:t>
      </w:r>
      <w:r w:rsidR="00791E52" w:rsidRPr="00791E52">
        <w:rPr>
          <w:rFonts w:eastAsia="Times New Roman"/>
        </w:rPr>
        <w:t>de paisagismo/</w:t>
      </w:r>
      <w:proofErr w:type="gramStart"/>
      <w:r w:rsidR="00791E52" w:rsidRPr="00791E52">
        <w:rPr>
          <w:rFonts w:eastAsia="Times New Roman"/>
        </w:rPr>
        <w:t xml:space="preserve">calçamento </w:t>
      </w:r>
      <w:r w:rsidR="00791E52">
        <w:rPr>
          <w:rFonts w:eastAsia="Times New Roman"/>
        </w:rPr>
        <w:t>,</w:t>
      </w:r>
      <w:proofErr w:type="gramEnd"/>
      <w:r w:rsidR="00791E52">
        <w:rPr>
          <w:rFonts w:eastAsia="Times New Roman"/>
        </w:rPr>
        <w:t xml:space="preserve"> </w:t>
      </w:r>
      <w:r w:rsidRPr="00724F4B">
        <w:rPr>
          <w:rFonts w:eastAsia="Times New Roman"/>
        </w:rPr>
        <w:t xml:space="preserve">drenagem, iluminação pública, sinalização horizontal, vertical e semafórica, bem como pelo termo de recebimento definitivo referente </w:t>
      </w:r>
      <w:r w:rsidRPr="00194674">
        <w:rPr>
          <w:rFonts w:eastAsia="Times New Roman"/>
        </w:rPr>
        <w:t xml:space="preserve">às obras de pavimentação, emitidos pelos setores competentes da PMC. </w:t>
      </w:r>
    </w:p>
    <w:p w14:paraId="4586840F" w14:textId="77777777" w:rsidR="006546A8" w:rsidRPr="00194674" w:rsidRDefault="006546A8" w:rsidP="006546A8">
      <w:pPr>
        <w:ind w:left="142" w:right="127" w:firstLine="0"/>
        <w:rPr>
          <w:rFonts w:eastAsia="Times New Roman"/>
        </w:rPr>
      </w:pPr>
    </w:p>
    <w:p w14:paraId="54850771" w14:textId="77777777" w:rsidR="006546A8" w:rsidRPr="00194674" w:rsidRDefault="006546A8" w:rsidP="006546A8">
      <w:pPr>
        <w:ind w:left="142" w:right="127" w:firstLine="0"/>
        <w:rPr>
          <w:rFonts w:eastAsia="Times New Roman"/>
        </w:rPr>
      </w:pPr>
      <w:r w:rsidRPr="00194674">
        <w:rPr>
          <w:rFonts w:eastAsia="Times New Roman"/>
        </w:rPr>
        <w:t>A liberação da garantia observará o cronograma físico de execução de obras. Concluídas todas as obras de infraestrutura e demais obrigações previstas neste Termo, e após aprovação formal da Prefeitura Municipal mediante termo de recebimento definitivo, a garantia será liberada, procedendo-se ao cancelamento da garantia prestada.</w:t>
      </w:r>
    </w:p>
    <w:p w14:paraId="0E7B6BA5" w14:textId="77777777" w:rsidR="006546A8" w:rsidRPr="00194674" w:rsidRDefault="006546A8" w:rsidP="006546A8">
      <w:pPr>
        <w:ind w:left="142" w:right="127" w:firstLine="0"/>
        <w:rPr>
          <w:rFonts w:eastAsia="Times New Roman"/>
        </w:rPr>
      </w:pPr>
    </w:p>
    <w:p w14:paraId="2FDD5A81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194674">
        <w:rPr>
          <w:rFonts w:eastAsia="Times New Roman"/>
        </w:rPr>
        <w:t>Após o recebimento definitivo das obras, incumbirá ao COMPROMISSÁRIO promover o cancelamento da garantia prestada, mediante prévia anuência expressa do MUNICÍPIO, arcando integralmente com todos os custos e despesas necessários à sua efetivação.</w:t>
      </w:r>
    </w:p>
    <w:p w14:paraId="59E5DE3A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628B4F54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  <w:r w:rsidRPr="00383C6B">
        <w:rPr>
          <w:rFonts w:eastAsia="Times New Roman"/>
          <w:b/>
          <w:bCs/>
        </w:rPr>
        <w:t xml:space="preserve">CLÁUSULA </w:t>
      </w:r>
      <w:r>
        <w:rPr>
          <w:rFonts w:eastAsia="Times New Roman"/>
          <w:b/>
          <w:bCs/>
        </w:rPr>
        <w:t>NONA</w:t>
      </w:r>
      <w:r w:rsidRPr="00383C6B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>FORO</w:t>
      </w:r>
    </w:p>
    <w:p w14:paraId="156F37D0" w14:textId="77777777" w:rsidR="006546A8" w:rsidRDefault="006546A8" w:rsidP="006546A8">
      <w:pPr>
        <w:spacing w:after="0"/>
        <w:ind w:left="142" w:right="127" w:firstLine="0"/>
        <w:rPr>
          <w:rFonts w:eastAsia="Times New Roman"/>
          <w:b/>
          <w:bCs/>
        </w:rPr>
      </w:pPr>
    </w:p>
    <w:p w14:paraId="66BCE86C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>Fica eleito o Foro da Cidade de Curitiba, Comarca Central de Curitiba, para dirimir qualquer litígio decorrente do presente termo de compromisso que não possa ser resolvido por meio amigável, com expressa renúncia a qualquer outro, por mais privilegiado que seja.</w:t>
      </w:r>
    </w:p>
    <w:p w14:paraId="782D6A79" w14:textId="77777777" w:rsidR="006546A8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015A8BBD" w14:textId="77777777" w:rsidR="006546A8" w:rsidRPr="00986243" w:rsidRDefault="006546A8" w:rsidP="006546A8">
      <w:pPr>
        <w:spacing w:after="0"/>
        <w:ind w:left="142" w:right="127" w:firstLine="0"/>
        <w:rPr>
          <w:rFonts w:eastAsia="Times New Roman"/>
        </w:rPr>
      </w:pPr>
    </w:p>
    <w:p w14:paraId="09AF74CE" w14:textId="77777777" w:rsidR="006546A8" w:rsidRPr="00986243" w:rsidRDefault="006546A8" w:rsidP="006546A8">
      <w:pPr>
        <w:spacing w:after="0"/>
        <w:ind w:left="142" w:right="127" w:firstLine="0"/>
        <w:rPr>
          <w:rFonts w:eastAsia="Times New Roman"/>
        </w:rPr>
      </w:pPr>
      <w:r w:rsidRPr="00724F4B">
        <w:rPr>
          <w:rFonts w:eastAsia="Times New Roman"/>
        </w:rPr>
        <w:t>E, por estarem assim acordes em todas as condições e cláusulas estabelecidas neste termo, firmam as partes o presente instrumento, depois de achado conforme, em presença das testemunhas abaixo firmadas.</w:t>
      </w:r>
      <w:r w:rsidRPr="00986243">
        <w:rPr>
          <w:rFonts w:eastAsia="Times New Roman"/>
        </w:rPr>
        <w:t xml:space="preserve"> </w:t>
      </w:r>
    </w:p>
    <w:p w14:paraId="2B20BD95" w14:textId="77777777" w:rsidR="006546A8" w:rsidRDefault="006546A8" w:rsidP="006546A8">
      <w:pPr>
        <w:spacing w:after="78" w:line="359" w:lineRule="auto"/>
        <w:ind w:left="142" w:right="127" w:firstLine="708"/>
        <w:rPr>
          <w:rFonts w:eastAsia="Times New Roman"/>
        </w:rPr>
      </w:pPr>
    </w:p>
    <w:p w14:paraId="2215CBB2" w14:textId="77777777" w:rsidR="006546A8" w:rsidRPr="00740C6D" w:rsidRDefault="006546A8" w:rsidP="006546A8">
      <w:pPr>
        <w:spacing w:after="55"/>
        <w:ind w:left="142" w:right="127" w:firstLine="0"/>
        <w:jc w:val="left"/>
      </w:pPr>
    </w:p>
    <w:p w14:paraId="39341D3B" w14:textId="77777777" w:rsidR="006546A8" w:rsidRDefault="006546A8" w:rsidP="006546A8">
      <w:pPr>
        <w:spacing w:after="187"/>
        <w:ind w:left="142" w:right="127"/>
        <w:jc w:val="center"/>
      </w:pPr>
      <w:bookmarkStart w:id="0" w:name="_Hlk65755691"/>
      <w:r w:rsidRPr="00740C6D">
        <w:t xml:space="preserve">Data: </w:t>
      </w:r>
      <w:r>
        <w:fldChar w:fldCharType="begin">
          <w:ffData>
            <w:name w:val="Texto2"/>
            <w:enabled/>
            <w:calcOnExit w:val="0"/>
            <w:textInput>
              <w:default w:val="____/____/________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____/____/________</w:t>
      </w:r>
      <w:r>
        <w:fldChar w:fldCharType="end"/>
      </w:r>
      <w:bookmarkEnd w:id="1"/>
      <w:r>
        <w:t xml:space="preserve"> </w:t>
      </w:r>
      <w:r w:rsidRPr="00740C6D">
        <w:t xml:space="preserve">Local: </w:t>
      </w:r>
      <w:r>
        <w:fldChar w:fldCharType="begin">
          <w:ffData>
            <w:name w:val="Texto3"/>
            <w:enabled/>
            <w:calcOnExit w:val="0"/>
            <w:textInput>
              <w:default w:val="                       "/>
              <w:format w:val="Iniciais maiúsculas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</w:t>
      </w:r>
      <w:r>
        <w:fldChar w:fldCharType="end"/>
      </w:r>
      <w:bookmarkEnd w:id="2"/>
    </w:p>
    <w:p w14:paraId="1F522D0D" w14:textId="77777777" w:rsidR="006546A8" w:rsidRDefault="006546A8" w:rsidP="006546A8">
      <w:pPr>
        <w:spacing w:after="187"/>
        <w:ind w:left="142" w:right="127"/>
        <w:jc w:val="center"/>
      </w:pPr>
    </w:p>
    <w:p w14:paraId="2E9707F7" w14:textId="77777777" w:rsidR="006546A8" w:rsidRDefault="006546A8" w:rsidP="006546A8">
      <w:pPr>
        <w:spacing w:after="187"/>
        <w:ind w:left="142" w:right="127"/>
        <w:jc w:val="center"/>
      </w:pPr>
    </w:p>
    <w:p w14:paraId="73196A11" w14:textId="77777777" w:rsidR="006546A8" w:rsidRDefault="006546A8" w:rsidP="006546A8">
      <w:pPr>
        <w:spacing w:after="187"/>
        <w:ind w:left="142" w:right="127"/>
        <w:jc w:val="center"/>
        <w:sectPr w:rsidR="006546A8" w:rsidSect="006546A8">
          <w:headerReference w:type="default" r:id="rId8"/>
          <w:pgSz w:w="11906" w:h="16838"/>
          <w:pgMar w:top="1202" w:right="853" w:bottom="681" w:left="720" w:header="720" w:footer="720" w:gutter="0"/>
          <w:cols w:space="720"/>
        </w:sectPr>
      </w:pPr>
    </w:p>
    <w:p w14:paraId="3106F820" w14:textId="77777777" w:rsidR="006546A8" w:rsidRDefault="006546A8" w:rsidP="006546A8">
      <w:pPr>
        <w:spacing w:after="187"/>
        <w:ind w:left="142" w:right="127"/>
        <w:jc w:val="center"/>
      </w:pPr>
    </w:p>
    <w:p w14:paraId="7369B778" w14:textId="77777777" w:rsidR="006546A8" w:rsidRDefault="006546A8" w:rsidP="006546A8">
      <w:pPr>
        <w:spacing w:after="187"/>
        <w:ind w:left="142" w:right="127"/>
        <w:jc w:val="center"/>
      </w:pPr>
    </w:p>
    <w:p w14:paraId="39B05A40" w14:textId="77777777" w:rsidR="006546A8" w:rsidRDefault="006546A8" w:rsidP="006546A8">
      <w:pPr>
        <w:spacing w:after="187"/>
        <w:ind w:left="142" w:right="127"/>
        <w:jc w:val="center"/>
      </w:pPr>
    </w:p>
    <w:p w14:paraId="3D831334" w14:textId="77777777" w:rsidR="006546A8" w:rsidRDefault="006546A8" w:rsidP="006546A8">
      <w:pPr>
        <w:spacing w:after="187"/>
        <w:ind w:left="142" w:right="127"/>
        <w:jc w:val="center"/>
      </w:pPr>
      <w:r>
        <w:t>__________________________________</w:t>
      </w:r>
    </w:p>
    <w:p w14:paraId="68849671" w14:textId="77777777" w:rsidR="006546A8" w:rsidRDefault="006546A8" w:rsidP="006546A8">
      <w:pPr>
        <w:spacing w:after="187"/>
        <w:ind w:left="142" w:right="127"/>
        <w:jc w:val="center"/>
      </w:pPr>
      <w:r>
        <w:t>MUNICÍPIO</w:t>
      </w:r>
    </w:p>
    <w:p w14:paraId="418C641D" w14:textId="77777777" w:rsidR="006546A8" w:rsidRDefault="006546A8" w:rsidP="006546A8">
      <w:pPr>
        <w:spacing w:after="187"/>
        <w:ind w:left="142" w:right="127"/>
        <w:jc w:val="center"/>
      </w:pPr>
    </w:p>
    <w:p w14:paraId="41E97810" w14:textId="77777777" w:rsidR="006546A8" w:rsidRDefault="006546A8" w:rsidP="006546A8">
      <w:pPr>
        <w:spacing w:after="187"/>
        <w:ind w:left="142" w:right="127"/>
        <w:jc w:val="center"/>
      </w:pPr>
    </w:p>
    <w:p w14:paraId="34AFDB40" w14:textId="77777777" w:rsidR="006546A8" w:rsidRDefault="006546A8" w:rsidP="006546A8">
      <w:pPr>
        <w:spacing w:after="187"/>
        <w:ind w:left="142" w:right="127"/>
        <w:jc w:val="center"/>
      </w:pPr>
    </w:p>
    <w:p w14:paraId="597AED22" w14:textId="77777777" w:rsidR="006546A8" w:rsidRDefault="006546A8" w:rsidP="006546A8">
      <w:pPr>
        <w:spacing w:after="187"/>
        <w:ind w:left="142" w:right="127" w:firstLine="0"/>
        <w:jc w:val="center"/>
      </w:pPr>
      <w:r>
        <w:t>__________________________________</w:t>
      </w:r>
    </w:p>
    <w:p w14:paraId="5BE804BF" w14:textId="77777777" w:rsidR="006546A8" w:rsidRDefault="006546A8" w:rsidP="006546A8">
      <w:pPr>
        <w:spacing w:after="187"/>
        <w:ind w:left="142" w:right="127" w:firstLine="0"/>
        <w:jc w:val="center"/>
      </w:pPr>
      <w:r>
        <w:t>TESTEMUNHA 1:</w:t>
      </w:r>
    </w:p>
    <w:p w14:paraId="6F0AF398" w14:textId="77777777" w:rsidR="006546A8" w:rsidRDefault="006546A8" w:rsidP="006546A8">
      <w:pPr>
        <w:spacing w:after="187"/>
        <w:ind w:left="142" w:right="127"/>
        <w:jc w:val="center"/>
      </w:pPr>
    </w:p>
    <w:p w14:paraId="122FF0C1" w14:textId="77777777" w:rsidR="006546A8" w:rsidRDefault="006546A8" w:rsidP="006546A8">
      <w:pPr>
        <w:spacing w:after="187"/>
        <w:ind w:left="142" w:right="127"/>
        <w:jc w:val="center"/>
      </w:pPr>
    </w:p>
    <w:p w14:paraId="5433CA31" w14:textId="77777777" w:rsidR="006546A8" w:rsidRDefault="006546A8" w:rsidP="006546A8">
      <w:pPr>
        <w:spacing w:after="187"/>
        <w:ind w:left="142" w:right="127"/>
        <w:jc w:val="center"/>
      </w:pPr>
    </w:p>
    <w:p w14:paraId="61E0AED6" w14:textId="77777777" w:rsidR="006546A8" w:rsidRDefault="006546A8" w:rsidP="006546A8">
      <w:pPr>
        <w:spacing w:after="187"/>
        <w:ind w:left="142" w:right="127"/>
        <w:jc w:val="center"/>
      </w:pPr>
    </w:p>
    <w:p w14:paraId="03A03D4F" w14:textId="77777777" w:rsidR="006546A8" w:rsidRDefault="006546A8" w:rsidP="006546A8">
      <w:pPr>
        <w:spacing w:after="187"/>
        <w:ind w:left="142" w:right="127"/>
        <w:jc w:val="center"/>
      </w:pPr>
      <w:r>
        <w:t>__________________________________</w:t>
      </w:r>
    </w:p>
    <w:p w14:paraId="355CB2F3" w14:textId="77777777" w:rsidR="006546A8" w:rsidRDefault="006546A8" w:rsidP="006546A8">
      <w:pPr>
        <w:spacing w:after="187"/>
        <w:ind w:left="142" w:right="127"/>
        <w:jc w:val="center"/>
      </w:pPr>
      <w:r>
        <w:t>COMPROMISSÁRIO</w:t>
      </w:r>
    </w:p>
    <w:p w14:paraId="4049F768" w14:textId="77777777" w:rsidR="006546A8" w:rsidRDefault="006546A8" w:rsidP="006546A8">
      <w:pPr>
        <w:spacing w:after="187"/>
        <w:ind w:left="142" w:right="127"/>
        <w:jc w:val="center"/>
      </w:pPr>
    </w:p>
    <w:p w14:paraId="70A53688" w14:textId="77777777" w:rsidR="006546A8" w:rsidRDefault="006546A8" w:rsidP="006546A8">
      <w:pPr>
        <w:spacing w:after="187"/>
        <w:ind w:left="142" w:right="127"/>
        <w:jc w:val="center"/>
      </w:pPr>
    </w:p>
    <w:bookmarkEnd w:id="0"/>
    <w:p w14:paraId="0D29F2E0" w14:textId="77777777" w:rsidR="006546A8" w:rsidRDefault="006546A8" w:rsidP="006546A8">
      <w:pPr>
        <w:spacing w:after="187"/>
        <w:ind w:left="142" w:right="127" w:firstLine="0"/>
        <w:jc w:val="center"/>
      </w:pPr>
    </w:p>
    <w:p w14:paraId="1D572B68" w14:textId="77777777" w:rsidR="006546A8" w:rsidRDefault="006546A8" w:rsidP="006546A8">
      <w:pPr>
        <w:spacing w:after="187"/>
        <w:ind w:left="142" w:right="127" w:firstLine="0"/>
        <w:jc w:val="center"/>
      </w:pPr>
      <w:r>
        <w:t>__________________________________</w:t>
      </w:r>
    </w:p>
    <w:p w14:paraId="3428F8D1" w14:textId="77777777" w:rsidR="006546A8" w:rsidRDefault="006546A8" w:rsidP="006546A8">
      <w:pPr>
        <w:spacing w:after="187"/>
        <w:ind w:left="142" w:right="127" w:firstLine="0"/>
        <w:jc w:val="center"/>
      </w:pPr>
      <w:r>
        <w:t>TESTEMUNHA 2:</w:t>
      </w:r>
    </w:p>
    <w:p w14:paraId="22DE4112" w14:textId="77777777" w:rsidR="006546A8" w:rsidRDefault="006546A8" w:rsidP="006546A8">
      <w:pPr>
        <w:spacing w:after="187"/>
        <w:ind w:left="142" w:right="127" w:firstLine="0"/>
        <w:jc w:val="center"/>
      </w:pPr>
    </w:p>
    <w:p w14:paraId="43730C88" w14:textId="77777777" w:rsidR="006546A8" w:rsidRDefault="006546A8" w:rsidP="006546A8">
      <w:pPr>
        <w:spacing w:after="187"/>
        <w:ind w:left="142" w:right="127" w:firstLine="0"/>
        <w:jc w:val="center"/>
        <w:sectPr w:rsidR="006546A8" w:rsidSect="006546A8">
          <w:type w:val="continuous"/>
          <w:pgSz w:w="11906" w:h="16838"/>
          <w:pgMar w:top="1202" w:right="853" w:bottom="681" w:left="720" w:header="720" w:footer="720" w:gutter="0"/>
          <w:cols w:num="2" w:space="720"/>
        </w:sectPr>
      </w:pPr>
    </w:p>
    <w:p w14:paraId="2FB491B4" w14:textId="77777777" w:rsidR="006546A8" w:rsidRDefault="006546A8" w:rsidP="006546A8">
      <w:pPr>
        <w:spacing w:after="187"/>
        <w:ind w:left="142" w:right="127" w:firstLine="0"/>
        <w:jc w:val="center"/>
      </w:pPr>
    </w:p>
    <w:p w14:paraId="08555845" w14:textId="77777777" w:rsidR="00994BD4" w:rsidRDefault="00994BD4" w:rsidP="008B2CC5">
      <w:pPr>
        <w:tabs>
          <w:tab w:val="center" w:pos="10348"/>
        </w:tabs>
        <w:spacing w:after="81" w:line="24" w:lineRule="atLeast"/>
        <w:ind w:left="0" w:right="50"/>
      </w:pPr>
    </w:p>
    <w:sectPr w:rsidR="00994BD4" w:rsidSect="006546A8">
      <w:type w:val="continuous"/>
      <w:pgSz w:w="11906" w:h="16838"/>
      <w:pgMar w:top="1202" w:right="853" w:bottom="681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E9E8" w14:textId="77777777" w:rsidR="00F63AA6" w:rsidRDefault="00F63AA6">
      <w:pPr>
        <w:spacing w:after="0" w:line="240" w:lineRule="auto"/>
      </w:pPr>
      <w:r>
        <w:separator/>
      </w:r>
    </w:p>
  </w:endnote>
  <w:endnote w:type="continuationSeparator" w:id="0">
    <w:p w14:paraId="4DB38EE6" w14:textId="77777777" w:rsidR="00F63AA6" w:rsidRDefault="00F6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565E" w14:textId="77777777" w:rsidR="00F63AA6" w:rsidRDefault="00F63AA6">
      <w:pPr>
        <w:spacing w:after="0" w:line="240" w:lineRule="auto"/>
      </w:pPr>
      <w:r>
        <w:separator/>
      </w:r>
    </w:p>
  </w:footnote>
  <w:footnote w:type="continuationSeparator" w:id="0">
    <w:p w14:paraId="0452A8C3" w14:textId="77777777" w:rsidR="00F63AA6" w:rsidRDefault="00F6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9E01" w14:textId="77777777" w:rsidR="006546A8" w:rsidRDefault="006546A8">
    <w:pPr>
      <w:pStyle w:val="Cabealho"/>
    </w:pPr>
  </w:p>
  <w:p w14:paraId="4B857B42" w14:textId="77777777" w:rsidR="006546A8" w:rsidRDefault="006546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010"/>
    <w:multiLevelType w:val="hybridMultilevel"/>
    <w:tmpl w:val="CDEC8222"/>
    <w:lvl w:ilvl="0" w:tplc="CD0246C6">
      <w:start w:val="1"/>
      <w:numFmt w:val="upperRoman"/>
      <w:lvlText w:val="%1"/>
      <w:lvlJc w:val="left"/>
      <w:pPr>
        <w:ind w:left="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EE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4C1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2B6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2B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2F2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CAEF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291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C5D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7660C"/>
    <w:multiLevelType w:val="hybridMultilevel"/>
    <w:tmpl w:val="60FC3A1A"/>
    <w:lvl w:ilvl="0" w:tplc="84EA8888">
      <w:start w:val="1"/>
      <w:numFmt w:val="upperRoman"/>
      <w:lvlText w:val="%1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655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4EC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E8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2CC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AEB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0D7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AE9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878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1E7B51"/>
    <w:multiLevelType w:val="hybridMultilevel"/>
    <w:tmpl w:val="6382DCE6"/>
    <w:lvl w:ilvl="0" w:tplc="1F6E1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372CEF"/>
    <w:multiLevelType w:val="hybridMultilevel"/>
    <w:tmpl w:val="F9721278"/>
    <w:lvl w:ilvl="0" w:tplc="F5C89884">
      <w:start w:val="1"/>
      <w:numFmt w:val="upperRoman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AC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A69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6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0FF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49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2A1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1881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AED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F70D2"/>
    <w:multiLevelType w:val="hybridMultilevel"/>
    <w:tmpl w:val="CDEC8222"/>
    <w:lvl w:ilvl="0" w:tplc="FFFFFFFF">
      <w:start w:val="1"/>
      <w:numFmt w:val="upperRoman"/>
      <w:lvlText w:val="%1"/>
      <w:lvlJc w:val="left"/>
      <w:pPr>
        <w:ind w:left="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3B5FB7"/>
    <w:multiLevelType w:val="hybridMultilevel"/>
    <w:tmpl w:val="508A4BBA"/>
    <w:lvl w:ilvl="0" w:tplc="112C0D22">
      <w:start w:val="1"/>
      <w:numFmt w:val="upperRoman"/>
      <w:lvlText w:val="%1 -"/>
      <w:lvlJc w:val="left"/>
      <w:pPr>
        <w:ind w:left="76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BB440E3"/>
    <w:multiLevelType w:val="hybridMultilevel"/>
    <w:tmpl w:val="FD9C11B6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25803A9"/>
    <w:multiLevelType w:val="hybridMultilevel"/>
    <w:tmpl w:val="533A703C"/>
    <w:lvl w:ilvl="0" w:tplc="112C0D22">
      <w:start w:val="1"/>
      <w:numFmt w:val="upperRoman"/>
      <w:lvlText w:val="%1 -"/>
      <w:lvlJc w:val="left"/>
      <w:pPr>
        <w:ind w:left="122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B3BAF"/>
    <w:multiLevelType w:val="hybridMultilevel"/>
    <w:tmpl w:val="CDEC8222"/>
    <w:lvl w:ilvl="0" w:tplc="FFFFFFFF">
      <w:start w:val="1"/>
      <w:numFmt w:val="upperRoman"/>
      <w:lvlText w:val="%1"/>
      <w:lvlJc w:val="left"/>
      <w:pPr>
        <w:ind w:left="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6929CF"/>
    <w:multiLevelType w:val="hybridMultilevel"/>
    <w:tmpl w:val="45843B98"/>
    <w:lvl w:ilvl="0" w:tplc="B49A0B1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47C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26A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D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0C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442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AA8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C5D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1ED0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387F5D"/>
    <w:multiLevelType w:val="hybridMultilevel"/>
    <w:tmpl w:val="3474B510"/>
    <w:lvl w:ilvl="0" w:tplc="0AB0570E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77A077ED"/>
    <w:multiLevelType w:val="multilevel"/>
    <w:tmpl w:val="379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21939">
    <w:abstractNumId w:val="1"/>
  </w:num>
  <w:num w:numId="2" w16cid:durableId="389235596">
    <w:abstractNumId w:val="9"/>
  </w:num>
  <w:num w:numId="3" w16cid:durableId="859320045">
    <w:abstractNumId w:val="0"/>
  </w:num>
  <w:num w:numId="4" w16cid:durableId="1725105726">
    <w:abstractNumId w:val="3"/>
  </w:num>
  <w:num w:numId="5" w16cid:durableId="658534182">
    <w:abstractNumId w:val="7"/>
  </w:num>
  <w:num w:numId="6" w16cid:durableId="1368793108">
    <w:abstractNumId w:val="5"/>
  </w:num>
  <w:num w:numId="7" w16cid:durableId="938021438">
    <w:abstractNumId w:val="11"/>
  </w:num>
  <w:num w:numId="8" w16cid:durableId="332995835">
    <w:abstractNumId w:val="2"/>
  </w:num>
  <w:num w:numId="9" w16cid:durableId="394860387">
    <w:abstractNumId w:val="6"/>
  </w:num>
  <w:num w:numId="10" w16cid:durableId="1815441275">
    <w:abstractNumId w:val="10"/>
  </w:num>
  <w:num w:numId="11" w16cid:durableId="1612281090">
    <w:abstractNumId w:val="8"/>
  </w:num>
  <w:num w:numId="12" w16cid:durableId="27032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22"/>
    <w:rsid w:val="000177BF"/>
    <w:rsid w:val="00031F5C"/>
    <w:rsid w:val="00035106"/>
    <w:rsid w:val="00041822"/>
    <w:rsid w:val="00047EA6"/>
    <w:rsid w:val="00074106"/>
    <w:rsid w:val="00086F5F"/>
    <w:rsid w:val="000920F0"/>
    <w:rsid w:val="00093FA0"/>
    <w:rsid w:val="00095929"/>
    <w:rsid w:val="000A29AB"/>
    <w:rsid w:val="000C0D87"/>
    <w:rsid w:val="000E2797"/>
    <w:rsid w:val="000E3B09"/>
    <w:rsid w:val="00101B95"/>
    <w:rsid w:val="00101DF7"/>
    <w:rsid w:val="0010613D"/>
    <w:rsid w:val="0011589E"/>
    <w:rsid w:val="00147EEB"/>
    <w:rsid w:val="00151448"/>
    <w:rsid w:val="001515B7"/>
    <w:rsid w:val="00162D82"/>
    <w:rsid w:val="00166C18"/>
    <w:rsid w:val="00174A79"/>
    <w:rsid w:val="00180AA4"/>
    <w:rsid w:val="00182ACE"/>
    <w:rsid w:val="00192BB9"/>
    <w:rsid w:val="001A2860"/>
    <w:rsid w:val="001A3C11"/>
    <w:rsid w:val="001A5B7E"/>
    <w:rsid w:val="001B4138"/>
    <w:rsid w:val="001C7B8B"/>
    <w:rsid w:val="001D57E2"/>
    <w:rsid w:val="001E2892"/>
    <w:rsid w:val="001F1C3B"/>
    <w:rsid w:val="001F1E54"/>
    <w:rsid w:val="001F287A"/>
    <w:rsid w:val="00200002"/>
    <w:rsid w:val="00201836"/>
    <w:rsid w:val="0020370C"/>
    <w:rsid w:val="00205D3E"/>
    <w:rsid w:val="00214307"/>
    <w:rsid w:val="002203D2"/>
    <w:rsid w:val="002204C4"/>
    <w:rsid w:val="00220ACD"/>
    <w:rsid w:val="00233E4F"/>
    <w:rsid w:val="00240CD7"/>
    <w:rsid w:val="0024248A"/>
    <w:rsid w:val="00244C90"/>
    <w:rsid w:val="002468F8"/>
    <w:rsid w:val="00251596"/>
    <w:rsid w:val="00254B8B"/>
    <w:rsid w:val="00255ADC"/>
    <w:rsid w:val="00260ED3"/>
    <w:rsid w:val="00260F6F"/>
    <w:rsid w:val="002745A9"/>
    <w:rsid w:val="002746BD"/>
    <w:rsid w:val="00295430"/>
    <w:rsid w:val="002A088D"/>
    <w:rsid w:val="002A388B"/>
    <w:rsid w:val="002B0550"/>
    <w:rsid w:val="002B0702"/>
    <w:rsid w:val="002B2D17"/>
    <w:rsid w:val="002B7484"/>
    <w:rsid w:val="002C5D6B"/>
    <w:rsid w:val="002D65A5"/>
    <w:rsid w:val="003026FB"/>
    <w:rsid w:val="0030531E"/>
    <w:rsid w:val="003053A7"/>
    <w:rsid w:val="0033753B"/>
    <w:rsid w:val="00361007"/>
    <w:rsid w:val="00364C74"/>
    <w:rsid w:val="00366AAB"/>
    <w:rsid w:val="00371A1D"/>
    <w:rsid w:val="00376950"/>
    <w:rsid w:val="00377950"/>
    <w:rsid w:val="0038418F"/>
    <w:rsid w:val="0038738E"/>
    <w:rsid w:val="003931F6"/>
    <w:rsid w:val="00393457"/>
    <w:rsid w:val="00393FA1"/>
    <w:rsid w:val="00395FAA"/>
    <w:rsid w:val="003A3630"/>
    <w:rsid w:val="003A46FE"/>
    <w:rsid w:val="003B2094"/>
    <w:rsid w:val="003B65EB"/>
    <w:rsid w:val="003F1089"/>
    <w:rsid w:val="00407DAB"/>
    <w:rsid w:val="004171FD"/>
    <w:rsid w:val="004219DA"/>
    <w:rsid w:val="004436EF"/>
    <w:rsid w:val="004546BB"/>
    <w:rsid w:val="00462BE9"/>
    <w:rsid w:val="0047156B"/>
    <w:rsid w:val="00472535"/>
    <w:rsid w:val="00477B61"/>
    <w:rsid w:val="00483C68"/>
    <w:rsid w:val="004843F9"/>
    <w:rsid w:val="0048610E"/>
    <w:rsid w:val="00497CC1"/>
    <w:rsid w:val="004A319C"/>
    <w:rsid w:val="004A3724"/>
    <w:rsid w:val="004C7567"/>
    <w:rsid w:val="004D716B"/>
    <w:rsid w:val="004E1F60"/>
    <w:rsid w:val="004E5748"/>
    <w:rsid w:val="00504B97"/>
    <w:rsid w:val="00511EB2"/>
    <w:rsid w:val="0052098F"/>
    <w:rsid w:val="00521C64"/>
    <w:rsid w:val="00522165"/>
    <w:rsid w:val="00522567"/>
    <w:rsid w:val="00527ADE"/>
    <w:rsid w:val="00533BE9"/>
    <w:rsid w:val="00534344"/>
    <w:rsid w:val="005367DF"/>
    <w:rsid w:val="00550D6D"/>
    <w:rsid w:val="005579F4"/>
    <w:rsid w:val="005674C4"/>
    <w:rsid w:val="00570020"/>
    <w:rsid w:val="00573E5A"/>
    <w:rsid w:val="00576BF3"/>
    <w:rsid w:val="0057766E"/>
    <w:rsid w:val="00583320"/>
    <w:rsid w:val="005A1EBA"/>
    <w:rsid w:val="005B04D3"/>
    <w:rsid w:val="005B427A"/>
    <w:rsid w:val="005B6153"/>
    <w:rsid w:val="005C3E77"/>
    <w:rsid w:val="005E623A"/>
    <w:rsid w:val="005F5454"/>
    <w:rsid w:val="0061135D"/>
    <w:rsid w:val="00617DC0"/>
    <w:rsid w:val="006259D7"/>
    <w:rsid w:val="00627208"/>
    <w:rsid w:val="00636D3A"/>
    <w:rsid w:val="00643031"/>
    <w:rsid w:val="006433DE"/>
    <w:rsid w:val="00650069"/>
    <w:rsid w:val="006546A8"/>
    <w:rsid w:val="0065600E"/>
    <w:rsid w:val="00663BC5"/>
    <w:rsid w:val="00671F3C"/>
    <w:rsid w:val="00684385"/>
    <w:rsid w:val="006A16E8"/>
    <w:rsid w:val="006A7004"/>
    <w:rsid w:val="006B26AF"/>
    <w:rsid w:val="006B6184"/>
    <w:rsid w:val="006B7973"/>
    <w:rsid w:val="006C604D"/>
    <w:rsid w:val="006D2806"/>
    <w:rsid w:val="006D38DC"/>
    <w:rsid w:val="006D6454"/>
    <w:rsid w:val="006E0E21"/>
    <w:rsid w:val="006E3992"/>
    <w:rsid w:val="006E7489"/>
    <w:rsid w:val="0070434F"/>
    <w:rsid w:val="00707134"/>
    <w:rsid w:val="00727DCB"/>
    <w:rsid w:val="007318CA"/>
    <w:rsid w:val="00731947"/>
    <w:rsid w:val="0073590A"/>
    <w:rsid w:val="007451B9"/>
    <w:rsid w:val="00745576"/>
    <w:rsid w:val="00765C48"/>
    <w:rsid w:val="0077040A"/>
    <w:rsid w:val="007779A9"/>
    <w:rsid w:val="0078496F"/>
    <w:rsid w:val="00791545"/>
    <w:rsid w:val="00791E52"/>
    <w:rsid w:val="007A17F1"/>
    <w:rsid w:val="007B0AA7"/>
    <w:rsid w:val="007B320B"/>
    <w:rsid w:val="007B545F"/>
    <w:rsid w:val="007C4A3B"/>
    <w:rsid w:val="007D5172"/>
    <w:rsid w:val="007E33B6"/>
    <w:rsid w:val="007F0B9D"/>
    <w:rsid w:val="00815B48"/>
    <w:rsid w:val="008175DF"/>
    <w:rsid w:val="00817935"/>
    <w:rsid w:val="008532B8"/>
    <w:rsid w:val="00857811"/>
    <w:rsid w:val="00863D39"/>
    <w:rsid w:val="008643CE"/>
    <w:rsid w:val="00870E70"/>
    <w:rsid w:val="00870F71"/>
    <w:rsid w:val="008720A9"/>
    <w:rsid w:val="00873EE5"/>
    <w:rsid w:val="0089395D"/>
    <w:rsid w:val="0089740A"/>
    <w:rsid w:val="008B2CC5"/>
    <w:rsid w:val="008C3AB8"/>
    <w:rsid w:val="008F6F50"/>
    <w:rsid w:val="00900EDB"/>
    <w:rsid w:val="00906D0B"/>
    <w:rsid w:val="00915FB9"/>
    <w:rsid w:val="0092077B"/>
    <w:rsid w:val="00926100"/>
    <w:rsid w:val="009308E1"/>
    <w:rsid w:val="00932C75"/>
    <w:rsid w:val="009455D2"/>
    <w:rsid w:val="00946939"/>
    <w:rsid w:val="00954A21"/>
    <w:rsid w:val="009638A7"/>
    <w:rsid w:val="009717BF"/>
    <w:rsid w:val="00976275"/>
    <w:rsid w:val="00976F00"/>
    <w:rsid w:val="00993E36"/>
    <w:rsid w:val="00994BD4"/>
    <w:rsid w:val="009A2903"/>
    <w:rsid w:val="009B0C23"/>
    <w:rsid w:val="009B52B8"/>
    <w:rsid w:val="009B67EC"/>
    <w:rsid w:val="009C1C0A"/>
    <w:rsid w:val="009C2C97"/>
    <w:rsid w:val="009C6C42"/>
    <w:rsid w:val="009E59D6"/>
    <w:rsid w:val="009F4443"/>
    <w:rsid w:val="009F734C"/>
    <w:rsid w:val="00A231A9"/>
    <w:rsid w:val="00A36071"/>
    <w:rsid w:val="00A37BF8"/>
    <w:rsid w:val="00A441A7"/>
    <w:rsid w:val="00A46E1E"/>
    <w:rsid w:val="00A5481E"/>
    <w:rsid w:val="00A56FEA"/>
    <w:rsid w:val="00A62435"/>
    <w:rsid w:val="00A71D1F"/>
    <w:rsid w:val="00A76FF3"/>
    <w:rsid w:val="00A87D04"/>
    <w:rsid w:val="00A87E5C"/>
    <w:rsid w:val="00A9053D"/>
    <w:rsid w:val="00A919B2"/>
    <w:rsid w:val="00A9369E"/>
    <w:rsid w:val="00A958EE"/>
    <w:rsid w:val="00A965CE"/>
    <w:rsid w:val="00A96C75"/>
    <w:rsid w:val="00AA6D72"/>
    <w:rsid w:val="00AC0267"/>
    <w:rsid w:val="00AE6443"/>
    <w:rsid w:val="00AF25BB"/>
    <w:rsid w:val="00B00425"/>
    <w:rsid w:val="00B01693"/>
    <w:rsid w:val="00B0741C"/>
    <w:rsid w:val="00B20DD9"/>
    <w:rsid w:val="00B20F32"/>
    <w:rsid w:val="00B30355"/>
    <w:rsid w:val="00B45EF7"/>
    <w:rsid w:val="00B47385"/>
    <w:rsid w:val="00B60D65"/>
    <w:rsid w:val="00B637C3"/>
    <w:rsid w:val="00B92B51"/>
    <w:rsid w:val="00BA1919"/>
    <w:rsid w:val="00BB4745"/>
    <w:rsid w:val="00BB520F"/>
    <w:rsid w:val="00BC2A82"/>
    <w:rsid w:val="00BC3F66"/>
    <w:rsid w:val="00BD6945"/>
    <w:rsid w:val="00BD7E1B"/>
    <w:rsid w:val="00BE0739"/>
    <w:rsid w:val="00BE7DFD"/>
    <w:rsid w:val="00C00D8C"/>
    <w:rsid w:val="00C1333A"/>
    <w:rsid w:val="00C148AA"/>
    <w:rsid w:val="00C203EE"/>
    <w:rsid w:val="00C27785"/>
    <w:rsid w:val="00C34298"/>
    <w:rsid w:val="00C3641B"/>
    <w:rsid w:val="00C410EC"/>
    <w:rsid w:val="00C50509"/>
    <w:rsid w:val="00C545E5"/>
    <w:rsid w:val="00C55FAB"/>
    <w:rsid w:val="00C634D7"/>
    <w:rsid w:val="00C6560D"/>
    <w:rsid w:val="00C711E8"/>
    <w:rsid w:val="00C8047A"/>
    <w:rsid w:val="00C80DC1"/>
    <w:rsid w:val="00C84CBA"/>
    <w:rsid w:val="00C8764D"/>
    <w:rsid w:val="00C876F7"/>
    <w:rsid w:val="00C91922"/>
    <w:rsid w:val="00C959DA"/>
    <w:rsid w:val="00C9750B"/>
    <w:rsid w:val="00C976C4"/>
    <w:rsid w:val="00C97F63"/>
    <w:rsid w:val="00CB01B0"/>
    <w:rsid w:val="00CB1BE9"/>
    <w:rsid w:val="00CB5D33"/>
    <w:rsid w:val="00CC3B3F"/>
    <w:rsid w:val="00CD06EC"/>
    <w:rsid w:val="00CD365B"/>
    <w:rsid w:val="00CD69A4"/>
    <w:rsid w:val="00CE2ACD"/>
    <w:rsid w:val="00CE4270"/>
    <w:rsid w:val="00D135AE"/>
    <w:rsid w:val="00D152F4"/>
    <w:rsid w:val="00D15EDF"/>
    <w:rsid w:val="00D22876"/>
    <w:rsid w:val="00D30F53"/>
    <w:rsid w:val="00D37FF0"/>
    <w:rsid w:val="00D522A2"/>
    <w:rsid w:val="00D71CBA"/>
    <w:rsid w:val="00D85B77"/>
    <w:rsid w:val="00D935D2"/>
    <w:rsid w:val="00DA3044"/>
    <w:rsid w:val="00DA4C12"/>
    <w:rsid w:val="00DA6162"/>
    <w:rsid w:val="00DB2094"/>
    <w:rsid w:val="00DB3BED"/>
    <w:rsid w:val="00DB7367"/>
    <w:rsid w:val="00DC392D"/>
    <w:rsid w:val="00DC700E"/>
    <w:rsid w:val="00DD1ACA"/>
    <w:rsid w:val="00DD2D66"/>
    <w:rsid w:val="00DE1DE5"/>
    <w:rsid w:val="00DF1397"/>
    <w:rsid w:val="00E02309"/>
    <w:rsid w:val="00E064EA"/>
    <w:rsid w:val="00E113E4"/>
    <w:rsid w:val="00E12FBD"/>
    <w:rsid w:val="00E24FE3"/>
    <w:rsid w:val="00E25246"/>
    <w:rsid w:val="00E31AFB"/>
    <w:rsid w:val="00E4286E"/>
    <w:rsid w:val="00E572E5"/>
    <w:rsid w:val="00E6351F"/>
    <w:rsid w:val="00E6353A"/>
    <w:rsid w:val="00E75DC3"/>
    <w:rsid w:val="00E77703"/>
    <w:rsid w:val="00E7776A"/>
    <w:rsid w:val="00E80B67"/>
    <w:rsid w:val="00E86B95"/>
    <w:rsid w:val="00EA058D"/>
    <w:rsid w:val="00EC1ADB"/>
    <w:rsid w:val="00EC3C35"/>
    <w:rsid w:val="00EC5D0C"/>
    <w:rsid w:val="00ED4A17"/>
    <w:rsid w:val="00ED60E6"/>
    <w:rsid w:val="00EE3317"/>
    <w:rsid w:val="00EF0DD4"/>
    <w:rsid w:val="00F16416"/>
    <w:rsid w:val="00F276D9"/>
    <w:rsid w:val="00F2773C"/>
    <w:rsid w:val="00F3745A"/>
    <w:rsid w:val="00F401E9"/>
    <w:rsid w:val="00F439D7"/>
    <w:rsid w:val="00F63AA6"/>
    <w:rsid w:val="00F7377D"/>
    <w:rsid w:val="00F82A84"/>
    <w:rsid w:val="00F9066E"/>
    <w:rsid w:val="00F97223"/>
    <w:rsid w:val="00FA4459"/>
    <w:rsid w:val="00FB2F6D"/>
    <w:rsid w:val="00FB4E14"/>
    <w:rsid w:val="00FC7AD5"/>
    <w:rsid w:val="00FD19CB"/>
    <w:rsid w:val="00FD7ADF"/>
    <w:rsid w:val="00FE7A9B"/>
    <w:rsid w:val="00FF29FE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DA05"/>
  <w15:docId w15:val="{E5A4E4F9-06E6-4214-B9FA-5FCA5D15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04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65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5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5C48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5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5C48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04C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grafodaLista">
    <w:name w:val="List Paragraph"/>
    <w:basedOn w:val="Normal"/>
    <w:uiPriority w:val="34"/>
    <w:qFormat/>
    <w:rsid w:val="00D935D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F0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B9D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9261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610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74106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D5172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546A8"/>
    <w:pPr>
      <w:tabs>
        <w:tab w:val="center" w:pos="4252"/>
        <w:tab w:val="right" w:pos="8504"/>
      </w:tabs>
      <w:spacing w:after="0" w:line="240" w:lineRule="auto"/>
      <w:ind w:left="718" w:right="548"/>
    </w:pPr>
    <w:rPr>
      <w:kern w:val="0"/>
      <w:szCs w:val="22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546A8"/>
    <w:rPr>
      <w:rFonts w:ascii="Arial" w:eastAsia="Arial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CabealhoPMC">
    <w:name w:val="Cabeçalho PMC"/>
    <w:basedOn w:val="Normal"/>
    <w:link w:val="CabealhoPMCChar"/>
    <w:rsid w:val="006546A8"/>
    <w:pPr>
      <w:spacing w:after="0" w:line="240" w:lineRule="auto"/>
      <w:ind w:left="0" w:firstLine="0"/>
    </w:pPr>
    <w:rPr>
      <w:rFonts w:ascii="Aptos" w:eastAsia="Times New Roman" w:hAnsi="Aptos" w:cs="Times New Roman"/>
      <w:b/>
      <w:color w:val="004F9F"/>
      <w:sz w:val="14"/>
      <w:szCs w:val="22"/>
      <w:lang w:eastAsia="en-US"/>
      <w14:ligatures w14:val="none"/>
    </w:rPr>
  </w:style>
  <w:style w:type="character" w:customStyle="1" w:styleId="CabealhoPMCChar">
    <w:name w:val="Cabeçalho PMC Char"/>
    <w:link w:val="CabealhoPMC"/>
    <w:rsid w:val="006546A8"/>
    <w:rPr>
      <w:rFonts w:ascii="Aptos" w:eastAsia="Times New Roman" w:hAnsi="Aptos" w:cs="Times New Roman"/>
      <w:b/>
      <w:color w:val="004F9F"/>
      <w:sz w:val="14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AD56-9230-46C5-A63C-E775787C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Placha Tambosi</dc:creator>
  <cp:keywords/>
  <dc:description/>
  <cp:lastModifiedBy>Thais Vieira Lopes</cp:lastModifiedBy>
  <cp:revision>6</cp:revision>
  <cp:lastPrinted>2026-03-10T17:27:00Z</cp:lastPrinted>
  <dcterms:created xsi:type="dcterms:W3CDTF">2026-03-10T17:31:00Z</dcterms:created>
  <dcterms:modified xsi:type="dcterms:W3CDTF">2026-03-10T17:43:00Z</dcterms:modified>
</cp:coreProperties>
</file>